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About the Measure</w:t>
            </w:r>
          </w:p>
          <w:p>
            <w:pPr>
              <w:pStyle w:val="Normal"/>
              <w:rPr>
                <w:rFonts w:ascii="Arial" w:hAnsi="Arial" w:cs="Arial"/>
                <w:b/>
                <w:b/>
                <w:sz w:val="22"/>
                <w:szCs w:val="22"/>
              </w:rPr>
            </w:pPr>
            <w:r>
              <w:rPr>
                <w:rFonts w:cs="Arial" w:ascii="Arial" w:hAnsi="Arial"/>
                <w:b/>
                <w:sz w:val="22"/>
                <w:szCs w:val="22"/>
              </w:rPr>
            </w:r>
          </w:p>
        </w:tc>
      </w:tr>
      <w:tr>
        <w:trPr>
          <w:trHeight w:val="571"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Tobacco Regulatory Research: Agent </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Urine Assay for Tobacco Carcinogen Exposure: 1-Hydroxypyrene (1-HOP)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sz w:val="22"/>
                <w:szCs w:val="22"/>
              </w:rPr>
              <w:t>Urinary 1-hydroxypyrene (1-HOP) is a widely accepted biomarker of polycyclic aromatic hydrocarbon (PAH) uptake. PAHs, which always occur in mixtures that include carcinogens such as benzo[a]pyrene, are present in cigarette smoke and are believed to contribute to cancer development in smokers. 1-HOP is a metabolite of pyrene, a noncarcinogenic component of all PAH mixtures. Therefore, measurements of this biomarker can inform about the level of PAH exposure in smokers or nonsmokers exposed to environmental tobacco smoke (ETS).</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The purpose of this measure is to analyze the levels of 1-hydroxypyrene (1-HOP) in human urine. Urinary carcinogen metabolite biomarkers can provide critical information on the relationship between tobacco exposure and human cancer. These biomarkers can also be particularly useful with respect to evaluation of new tobacco products and/or strategies for reduction of tobacco carcinogen uptake from product use or environmental tobacco smoke (ETS) exposure. </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10896" w:type="dxa"/>
        <w:jc w:val="center"/>
        <w:tblInd w:w="0" w:type="dxa"/>
        <w:tblLayout w:type="fixed"/>
        <w:tblCellMar>
          <w:top w:w="0" w:type="dxa"/>
          <w:left w:w="108" w:type="dxa"/>
          <w:bottom w:w="0" w:type="dxa"/>
          <w:right w:w="108" w:type="dxa"/>
        </w:tblCellMar>
      </w:tblPr>
      <w:tblGrid>
        <w:gridCol w:w="2280"/>
        <w:gridCol w:w="8616"/>
      </w:tblGrid>
      <w:tr>
        <w:trPr>
          <w:trHeight w:val="845" w:hRule="atLeast"/>
        </w:trPr>
        <w:tc>
          <w:tcPr>
            <w:tcW w:w="1089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2"/>
                <w:szCs w:val="22"/>
              </w:rPr>
            </w:pPr>
            <w:r>
              <w:rPr>
                <w:rFonts w:cs="Arial" w:ascii="Arial" w:hAnsi="Arial"/>
                <w:b/>
                <w:sz w:val="22"/>
                <w:szCs w:val="22"/>
              </w:rPr>
              <w:t>About the Protocol</w:t>
            </w:r>
          </w:p>
          <w:p>
            <w:pPr>
              <w:pStyle w:val="Normal"/>
              <w:jc w:val="center"/>
              <w:rPr>
                <w:rFonts w:ascii="Arial" w:hAnsi="Arial" w:cs="Arial"/>
                <w:b/>
                <w:b/>
                <w:sz w:val="22"/>
                <w:szCs w:val="22"/>
              </w:rPr>
            </w:pPr>
            <w:r>
              <w:rPr>
                <w:rFonts w:cs="Arial" w:ascii="Arial" w:hAnsi="Arial"/>
                <w:b/>
                <w:sz w:val="22"/>
                <w:szCs w:val="22"/>
                <w:highlight w:val="lightGray"/>
              </w:rPr>
              <w:t xml:space="preserve">(Please fill out a new table for each alternate protocol; this will make the data loading </w:t>
            </w:r>
            <w:r>
              <w:rPr>
                <w:rFonts w:cs="Arial" w:ascii="Arial" w:hAnsi="Arial"/>
                <w:b/>
                <w:i/>
                <w:iCs/>
                <w:sz w:val="22"/>
                <w:szCs w:val="22"/>
                <w:highlight w:val="lightGray"/>
              </w:rPr>
              <w:t>much</w:t>
            </w:r>
            <w:r>
              <w:rPr>
                <w:rFonts w:cs="Arial" w:ascii="Arial" w:hAnsi="Arial"/>
                <w:b/>
                <w:sz w:val="22"/>
                <w:szCs w:val="22"/>
                <w:highlight w:val="lightGray"/>
              </w:rPr>
              <w:t xml:space="preserve"> faster.)</w:t>
            </w:r>
          </w:p>
          <w:p>
            <w:pPr>
              <w:pStyle w:val="Normal"/>
              <w:rPr>
                <w:rFonts w:ascii="Arial" w:hAnsi="Arial" w:cs="Arial"/>
                <w:b/>
                <w:b/>
                <w:sz w:val="22"/>
                <w:szCs w:val="22"/>
              </w:rPr>
            </w:pPr>
            <w:r>
              <w:rPr>
                <w:rFonts w:cs="Arial" w:ascii="Arial" w:hAnsi="Arial"/>
                <w:b/>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6"/>
                <w:szCs w:val="16"/>
              </w:rPr>
            </w:pPr>
            <w:r>
              <w:rPr>
                <w:rFonts w:cs="Arial" w:ascii="Arial" w:hAnsi="Arial"/>
                <w:b/>
                <w:sz w:val="22"/>
                <w:szCs w:val="22"/>
              </w:rPr>
              <w:t>Description of Protocol:</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 biospecimen is collected from the respondent to measure 1-hydroxypyrene (1-HOP), a marker of either smoking or of environmental tobacco smoke exposure. This is a laboratory protocol.</w:t>
            </w:r>
          </w:p>
          <w:p>
            <w:pPr>
              <w:pStyle w:val="Normal"/>
              <w:autoSpaceDE w:val="false"/>
              <w:rPr>
                <w:rFonts w:ascii="Arial" w:hAnsi="Arial" w:cs="Arial"/>
                <w:sz w:val="22"/>
                <w:szCs w:val="22"/>
              </w:rPr>
            </w:pPr>
            <w:r>
              <w:rPr>
                <w:rFonts w:cs="Arial" w:ascii="Arial" w:hAnsi="Arial"/>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Urine is easily collected and with the proper laboratory equipment, 1-hydroxypyrene (1-HOP) can be measured accurately from a sterile urine sample. Urinary 1-HOP has been analyzed in numerous studies and produces more quantifiable results than biomarkers of other polycyclic aromatic hydrocarbon (PAH). Significant differences in urinary 1-HOP between smokers and nonsmokers have been reported.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The recommended assay for 1-HOP analysis in human urine uses commercially available 96-well format devices, which expedite sample preparation before quantitation by high-performance liquid chromatography (HPLC) with fluorescence detection. </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Day-to-day variations in urinary 1-hydroxypyrene (1-HOP) levels are observed in nonsmokers without occupational exposure to polycyclic aromatic hydrocarbon (PAH). Diet is most likely the main contributor to 1-HOP in urine of such nonsmokers. Therefore, multiple sampling and/or collection of dietary information may be needed in studies of environmental tobacco smoke (ETS) exposure to PAH.</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Protocol Text:</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spacing w:lineRule="auto" w:line="230"/>
              <w:ind w:right="684" w:hanging="0"/>
              <w:jc w:val="both"/>
              <w:rPr/>
            </w:pPr>
            <w:r>
              <w:rPr>
                <w:rFonts w:cs="Arial" w:ascii="Arial" w:hAnsi="Arial"/>
                <w:w w:val="112"/>
                <w:sz w:val="22"/>
                <w:szCs w:val="22"/>
                <w:u w:val="single"/>
              </w:rPr>
              <w:t>Collection</w:t>
            </w:r>
            <w:r>
              <w:rPr>
                <w:rFonts w:cs="Arial" w:ascii="Arial" w:hAnsi="Arial"/>
                <w:spacing w:val="1"/>
                <w:w w:val="112"/>
                <w:sz w:val="22"/>
                <w:szCs w:val="22"/>
                <w:u w:val="single"/>
              </w:rPr>
              <w:t xml:space="preserve"> </w:t>
            </w:r>
            <w:r>
              <w:rPr>
                <w:rFonts w:cs="Arial" w:ascii="Arial" w:hAnsi="Arial"/>
                <w:sz w:val="22"/>
                <w:szCs w:val="22"/>
                <w:u w:val="single"/>
              </w:rPr>
              <w:t>of</w:t>
            </w:r>
            <w:r>
              <w:rPr>
                <w:rFonts w:cs="Arial" w:ascii="Arial" w:hAnsi="Arial"/>
                <w:spacing w:val="23"/>
                <w:sz w:val="22"/>
                <w:szCs w:val="22"/>
                <w:u w:val="single"/>
              </w:rPr>
              <w:t xml:space="preserve"> </w:t>
            </w:r>
            <w:r>
              <w:rPr>
                <w:rFonts w:cs="Arial" w:ascii="Arial" w:hAnsi="Arial"/>
                <w:w w:val="112"/>
                <w:sz w:val="22"/>
                <w:szCs w:val="22"/>
                <w:u w:val="single"/>
              </w:rPr>
              <w:t>Urine:</w:t>
            </w:r>
          </w:p>
          <w:p>
            <w:pPr>
              <w:pStyle w:val="Normal"/>
              <w:spacing w:lineRule="auto" w:line="230"/>
              <w:ind w:right="684" w:hanging="0"/>
              <w:jc w:val="both"/>
              <w:rPr>
                <w:rFonts w:ascii="Arial" w:hAnsi="Arial" w:cs="Arial"/>
                <w:sz w:val="22"/>
                <w:szCs w:val="22"/>
              </w:rPr>
            </w:pPr>
            <w:r>
              <w:rPr>
                <w:rFonts w:cs="Arial" w:ascii="Arial" w:hAnsi="Arial"/>
                <w:sz w:val="22"/>
                <w:szCs w:val="22"/>
              </w:rPr>
              <w:t>The respondent is asked to collect first morning urine (50</w:t>
            </w:r>
            <w:r>
              <w:rPr>
                <w:rFonts w:cs="Arial" w:ascii="Arial" w:hAnsi="Arial"/>
                <w:spacing w:val="3"/>
                <w:sz w:val="22"/>
                <w:szCs w:val="22"/>
              </w:rPr>
              <w:t xml:space="preserve"> </w:t>
            </w:r>
            <w:r>
              <w:rPr>
                <w:rFonts w:cs="Arial" w:ascii="Arial" w:hAnsi="Arial"/>
                <w:sz w:val="22"/>
                <w:szCs w:val="22"/>
              </w:rPr>
              <w:t>to</w:t>
            </w:r>
            <w:r>
              <w:rPr>
                <w:rFonts w:cs="Arial" w:ascii="Arial" w:hAnsi="Arial"/>
                <w:spacing w:val="19"/>
                <w:sz w:val="22"/>
                <w:szCs w:val="22"/>
              </w:rPr>
              <w:t xml:space="preserve"> </w:t>
            </w:r>
            <w:r>
              <w:rPr>
                <w:rFonts w:cs="Arial" w:ascii="Arial" w:hAnsi="Arial"/>
                <w:sz w:val="22"/>
                <w:szCs w:val="22"/>
              </w:rPr>
              <w:t>80</w:t>
            </w:r>
            <w:r>
              <w:rPr>
                <w:rFonts w:cs="Arial" w:ascii="Arial" w:hAnsi="Arial"/>
                <w:spacing w:val="3"/>
                <w:sz w:val="22"/>
                <w:szCs w:val="22"/>
              </w:rPr>
              <w:t xml:space="preserve"> </w:t>
            </w:r>
            <w:r>
              <w:rPr>
                <w:rFonts w:cs="Arial" w:ascii="Arial" w:hAnsi="Arial"/>
                <w:w w:val="105"/>
                <w:sz w:val="22"/>
                <w:szCs w:val="22"/>
              </w:rPr>
              <w:t xml:space="preserve">mL) </w:t>
            </w:r>
            <w:r>
              <w:rPr>
                <w:rFonts w:cs="Arial" w:ascii="Arial" w:hAnsi="Arial"/>
                <w:sz w:val="22"/>
                <w:szCs w:val="22"/>
              </w:rPr>
              <w:t>in a sterile polyethylene specimen collection container. The specimen should be aliquoted for 1-HOP analysis the day of urine collection, but can be kept at room temperature until the aliquoting. Aliquot 3mL into a 4 mL cryovial. 1-HOP assay requires 1 mL of urine; saving 3 mL will allow for potential duplicate analysis if necessary. Freeze the cryovial at -20°C until analysis. If the samples need to be stored greater than 1 year freeze at -80°C.</w:t>
            </w:r>
          </w:p>
          <w:p>
            <w:pPr>
              <w:pStyle w:val="Normal"/>
              <w:spacing w:lineRule="auto" w:line="230"/>
              <w:ind w:right="684" w:hanging="0"/>
              <w:jc w:val="both"/>
              <w:rPr>
                <w:rFonts w:ascii="Arial" w:hAnsi="Arial" w:cs="Arial"/>
                <w:sz w:val="22"/>
                <w:szCs w:val="22"/>
              </w:rPr>
            </w:pPr>
            <w:r>
              <w:rPr>
                <w:rFonts w:cs="Arial" w:ascii="Arial" w:hAnsi="Arial"/>
                <w:sz w:val="22"/>
                <w:szCs w:val="22"/>
              </w:rPr>
            </w:r>
          </w:p>
          <w:p>
            <w:pPr>
              <w:pStyle w:val="Normal"/>
              <w:spacing w:lineRule="auto" w:line="230"/>
              <w:ind w:right="684" w:hanging="0"/>
              <w:jc w:val="both"/>
              <w:rPr>
                <w:rFonts w:ascii="Arial" w:hAnsi="Arial" w:cs="Arial"/>
                <w:sz w:val="22"/>
                <w:szCs w:val="22"/>
              </w:rPr>
            </w:pPr>
            <w:r>
              <w:rPr>
                <w:rFonts w:cs="Arial" w:ascii="Arial" w:hAnsi="Arial"/>
                <w:sz w:val="22"/>
                <w:szCs w:val="22"/>
              </w:rPr>
              <w:t>High-performance liquid chromatography (HPLC) with fluorescence detection is used to accurately measure 1-HOP in urine samples. (See source reference for details.) The limit of detection is 0.05 pmol/mL urine.</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6"/>
                <w:szCs w:val="16"/>
              </w:rPr>
            </w:pPr>
            <w:r>
              <w:rPr>
                <w:rFonts w:cs="Arial" w:ascii="Arial" w:hAnsi="Arial"/>
                <w:b/>
                <w:sz w:val="22"/>
                <w:szCs w:val="22"/>
              </w:rPr>
              <w:t>Participant:</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Ages 3 and up </w:t>
            </w:r>
          </w:p>
          <w:p>
            <w:pPr>
              <w:pStyle w:val="Normal"/>
              <w:autoSpaceDE w:val="false"/>
              <w:rPr>
                <w:rFonts w:ascii="Arial" w:hAnsi="Arial" w:cs="Arial"/>
                <w:sz w:val="22"/>
                <w:szCs w:val="22"/>
              </w:rPr>
            </w:pPr>
            <w:r>
              <w:rPr>
                <w:rFonts w:cs="Arial" w:ascii="Arial" w:hAnsi="Arial"/>
                <w:sz w:val="22"/>
                <w:szCs w:val="22"/>
              </w:rPr>
            </w:r>
          </w:p>
        </w:tc>
      </w:tr>
      <w:tr>
        <w:trPr>
          <w:trHeight w:val="109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 xml:space="preserve">Source: </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 xml:space="preserve">Carmella, S. G., Le, K., &amp; Hecht, S. S. (2004). Improved method for determination of 1-hydroxypyrene in human urine. </w:t>
            </w:r>
            <w:r>
              <w:rPr>
                <w:rFonts w:cs="Arial" w:ascii="Arial" w:hAnsi="Arial"/>
                <w:bCs/>
                <w:i/>
                <w:iCs/>
                <w:sz w:val="22"/>
                <w:szCs w:val="22"/>
              </w:rPr>
              <w:t xml:space="preserve">Cancer Epidemiology, Biomarkers &amp; Prevention, </w:t>
            </w:r>
            <w:r>
              <w:rPr>
                <w:rFonts w:cs="Arial" w:ascii="Arial" w:hAnsi="Arial"/>
                <w:bCs/>
                <w:i/>
                <w:sz w:val="22"/>
                <w:szCs w:val="22"/>
              </w:rPr>
              <w:t>13</w:t>
            </w:r>
            <w:r>
              <w:rPr>
                <w:rFonts w:cs="Arial" w:ascii="Arial" w:hAnsi="Arial"/>
                <w:bCs/>
                <w:sz w:val="22"/>
                <w:szCs w:val="22"/>
              </w:rPr>
              <w:t>(7), 1261–1264.</w:t>
            </w:r>
          </w:p>
        </w:tc>
      </w:tr>
      <w:tr>
        <w:trPr>
          <w:trHeight w:val="681"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Language of Source:</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English</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sz w:val="22"/>
                <w:szCs w:val="22"/>
              </w:rPr>
            </w:pPr>
            <w:r>
              <w:rPr>
                <w:rFonts w:cs="Arial" w:ascii="Arial" w:hAnsi="Arial"/>
                <w:b/>
                <w:sz w:val="22"/>
                <w:szCs w:val="22"/>
              </w:rPr>
              <w:t xml:space="preserve">Personnel and Training Required: </w:t>
              <w:br/>
            </w:r>
            <w:r>
              <w:rPr>
                <w:rFonts w:cs="Arial" w:ascii="Arial" w:hAnsi="Arial"/>
                <w:b/>
                <w:sz w:val="16"/>
                <w:szCs w:val="16"/>
              </w:rPr>
              <w:br/>
            </w:r>
            <w:r>
              <w:rPr>
                <w:rFonts w:cs="Arial" w:ascii="Arial" w:hAnsi="Arial"/>
                <w:bCs/>
                <w:sz w:val="16"/>
                <w:szCs w:val="16"/>
              </w:rPr>
              <w:t>(included in Supplemental Information)</w:t>
            </w:r>
          </w:p>
          <w:p>
            <w:pPr>
              <w:pStyle w:val="Normal"/>
              <w:rPr>
                <w:rFonts w:ascii="Arial" w:hAnsi="Arial" w:cs="Arial"/>
                <w:sz w:val="22"/>
                <w:szCs w:val="22"/>
              </w:rPr>
            </w:pPr>
            <w:r>
              <w:rPr>
                <w:rFonts w:cs="Arial" w:ascii="Arial" w:hAnsi="Arial"/>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shd w:fill="FFFFFF" w:val="clear"/>
              </w:rPr>
              <w:t xml:space="preserve">Urine samples can be self-collected by children aged 10 or older with adequate instructions. </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16"/>
                <w:szCs w:val="16"/>
              </w:rPr>
              <w:t>(included in Supplemental Information)</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shd w:fill="FFFFFF" w:val="clear"/>
              </w:rPr>
              <w:t xml:space="preserve">Standard urine collection supplies that have been sterilized. Laboratory supplies and instruments are needed to measure </w:t>
            </w:r>
            <w:r>
              <w:rPr>
                <w:rFonts w:cs="Arial" w:ascii="Arial" w:hAnsi="Arial"/>
                <w:sz w:val="22"/>
                <w:szCs w:val="22"/>
              </w:rPr>
              <w:t>1-hydroxypyrene (</w:t>
            </w:r>
            <w:r>
              <w:rPr>
                <w:rFonts w:cs="Arial" w:ascii="Arial" w:hAnsi="Arial"/>
                <w:sz w:val="22"/>
                <w:szCs w:val="22"/>
                <w:shd w:fill="FFFFFF" w:val="clear"/>
              </w:rPr>
              <w:t>1-HOP). Biological samples may be shipped using appropriate shipping procedures to laboratories that specialize in these types of analysis.</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Type:</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Bioassay</w:t>
            </w:r>
          </w:p>
        </w:tc>
      </w:tr>
      <w:tr>
        <w:trPr>
          <w:trHeight w:val="953"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Requirements:</w:t>
            </w:r>
          </w:p>
        </w:tc>
        <w:tc>
          <w:tcPr>
            <w:tcW w:w="861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autoSpaceDE w:val="false"/>
              <w:rPr>
                <w:rFonts w:ascii="Arial" w:hAnsi="Arial" w:cs="Arial"/>
                <w:b/>
                <w:b/>
                <w:sz w:val="22"/>
                <w:szCs w:val="22"/>
              </w:rPr>
            </w:pPr>
            <w:r>
              <w:rPr>
                <w:rFonts w:cs="Arial" w:ascii="Arial" w:hAnsi="Arial"/>
                <w:b/>
                <w:sz w:val="22"/>
                <w:szCs w:val="22"/>
              </w:rPr>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Common Data Elements:</w:t>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Cs/>
                <w:sz w:val="22"/>
                <w:szCs w:val="22"/>
              </w:rPr>
              <w:t>To be completed by PhenX Staff.</w:t>
            </w:r>
            <w:r>
              <w:rPr>
                <w:rFonts w:cs="Arial" w:ascii="Arial" w:hAnsi="Arial"/>
                <w:sz w:val="22"/>
                <w:szCs w:val="22"/>
              </w:rPr>
              <w:br/>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16"/>
                <w:szCs w:val="16"/>
              </w:rPr>
            </w:pPr>
            <w:r>
              <w:rPr>
                <w:rFonts w:cs="Arial" w:ascii="Arial" w:hAnsi="Arial"/>
                <w:b/>
                <w:sz w:val="22"/>
                <w:szCs w:val="22"/>
              </w:rPr>
              <w:t xml:space="preserve">General References: </w:t>
              <w:br/>
              <w:br/>
            </w:r>
            <w:r>
              <w:rPr>
                <w:rFonts w:cs="Arial" w:ascii="Arial" w:hAnsi="Arial"/>
                <w:bCs/>
                <w:sz w:val="16"/>
                <w:szCs w:val="16"/>
              </w:rPr>
              <w:t>(included in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Hecht, S. S., Carmella. S. G., Le, K. A., Murphy, S. E., Li, Y. S,, Le, C., Jensen, J., &amp; Hatsukami, D. K.</w:t>
            </w:r>
            <w:r>
              <w:rPr/>
              <w:t xml:space="preserve"> </w:t>
            </w:r>
            <w:r>
              <w:rPr>
                <w:rFonts w:cs="Arial" w:ascii="Arial" w:hAnsi="Arial"/>
                <w:sz w:val="22"/>
                <w:szCs w:val="22"/>
              </w:rPr>
              <w:t xml:space="preserve">Effects of reduced cigarette smoking on levels of 1-hydroxypyrene in urine. </w:t>
            </w:r>
            <w:r>
              <w:rPr>
                <w:rFonts w:cs="Arial" w:ascii="Arial" w:hAnsi="Arial"/>
                <w:bCs/>
                <w:i/>
                <w:iCs/>
                <w:sz w:val="22"/>
                <w:szCs w:val="22"/>
              </w:rPr>
              <w:t xml:space="preserve">Cancer Epidemiology, Biomarkers &amp; Prevention, </w:t>
            </w:r>
            <w:r>
              <w:rPr>
                <w:rFonts w:cs="Arial" w:ascii="Arial" w:hAnsi="Arial"/>
                <w:bCs/>
                <w:i/>
                <w:sz w:val="22"/>
                <w:szCs w:val="22"/>
              </w:rPr>
              <w:t>13</w:t>
            </w:r>
            <w:r>
              <w:rPr>
                <w:rFonts w:cs="Arial" w:ascii="Arial" w:hAnsi="Arial"/>
                <w:bCs/>
                <w:sz w:val="22"/>
                <w:szCs w:val="22"/>
              </w:rPr>
              <w:t>(5), 834–842.</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Carmella, S. G., Chen, M., Han, S., Briggs, A., Jensen, J., Hatsukami, D. K., Hecht, S. S. (2009). Effects of smoking cessation on eight urinary tobacco carcinogen and toxicant biomarkers. </w:t>
            </w:r>
            <w:r>
              <w:rPr>
                <w:rFonts w:cs="Arial" w:ascii="Arial" w:hAnsi="Arial"/>
                <w:i/>
                <w:sz w:val="22"/>
                <w:szCs w:val="22"/>
              </w:rPr>
              <w:t>Chemical Research in Toxicology, 22</w:t>
            </w:r>
            <w:r>
              <w:rPr>
                <w:rFonts w:cs="Arial" w:ascii="Arial" w:hAnsi="Arial"/>
                <w:sz w:val="22"/>
                <w:szCs w:val="22"/>
              </w:rPr>
              <w:t>(4), 734–741.</w:t>
            </w:r>
          </w:p>
        </w:tc>
      </w:tr>
    </w:tbl>
    <w:p>
      <w:pPr>
        <w:pStyle w:val="Normal"/>
        <w:rPr>
          <w:rFonts w:ascii="Arial" w:hAnsi="Arial" w:cs="Arial"/>
          <w:sz w:val="22"/>
          <w:szCs w:val="22"/>
        </w:rPr>
      </w:pPr>
      <w:r>
        <w:rPr>
          <w:rFonts w:cs="Arial" w:ascii="Arial" w:hAnsi="Arial"/>
          <w:sz w:val="22"/>
          <w:szCs w:val="22"/>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578"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bCs/>
                <w:sz w:val="22"/>
                <w:szCs w:val="22"/>
              </w:rPr>
            </w:pPr>
            <w:r>
              <w:rPr>
                <w:rFonts w:cs="Arial" w:ascii="Arial" w:hAnsi="Arial"/>
                <w:b/>
                <w:bCs/>
                <w:sz w:val="22"/>
                <w:szCs w:val="22"/>
              </w:rPr>
              <w:t>Additional Information About the Measure</w:t>
            </w:r>
          </w:p>
        </w:tc>
      </w:tr>
      <w:tr>
        <w:trPr>
          <w:trHeight w:val="578"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Essential Data:</w:t>
            </w:r>
          </w:p>
          <w:p>
            <w:pPr>
              <w:pStyle w:val="Normal"/>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p>
            <w:pPr>
              <w:pStyle w:val="Normal"/>
              <w:rPr>
                <w:rFonts w:ascii="Arial" w:hAnsi="Arial" w:cs="Arial"/>
                <w:sz w:val="22"/>
                <w:szCs w:val="22"/>
              </w:rPr>
            </w:pPr>
            <w:r>
              <w:rPr>
                <w:rFonts w:cs="Arial" w:ascii="Arial" w:hAnsi="Arial"/>
                <w:sz w:val="22"/>
                <w:szCs w:val="22"/>
              </w:rPr>
            </w:r>
          </w:p>
        </w:tc>
      </w:tr>
      <w:tr>
        <w:trPr>
          <w:trHeight w:val="541"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p>
            <w:pPr>
              <w:pStyle w:val="Normal"/>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Urine Assay for Tobacco Smoke Exposure Protocol, </w:t>
            </w:r>
            <w:commentRangeStart w:id="0"/>
            <w:r>
              <w:rPr>
                <w:rFonts w:cs="Arial" w:ascii="Arial" w:hAnsi="Arial"/>
                <w:sz w:val="22"/>
                <w:szCs w:val="22"/>
              </w:rPr>
              <w:t>NNAL</w:t>
            </w:r>
            <w:r>
              <w:rPr>
                <w:rStyle w:val="CommentReference"/>
                <w:vanish w:val="false"/>
              </w:rPr>
            </w:r>
            <w:commentRangeEnd w:id="0"/>
            <w:r>
              <w:commentReference w:id="0"/>
            </w:r>
            <w:r>
              <w:rPr>
                <w:rFonts w:cs="Arial" w:ascii="Arial" w:hAnsi="Arial"/>
                <w:sz w:val="22"/>
                <w:szCs w:val="22"/>
              </w:rPr>
              <w:t xml:space="preserve"> in Urine, Biomarkers - Cotinine in Serum</w:t>
            </w:r>
          </w:p>
          <w:p>
            <w:pPr>
              <w:pStyle w:val="Normal"/>
              <w:rPr>
                <w:rFonts w:ascii="Arial" w:hAnsi="Arial" w:cs="Arial"/>
                <w:sz w:val="22"/>
                <w:szCs w:val="22"/>
              </w:rPr>
            </w:pPr>
            <w:r>
              <w:rPr>
                <w:rFonts w:cs="Arial" w:ascii="Arial" w:hAnsi="Arial"/>
                <w:sz w:val="22"/>
                <w:szCs w:val="22"/>
              </w:rPr>
            </w:r>
          </w:p>
        </w:tc>
      </w:tr>
      <w:tr>
        <w:trPr>
          <w:trHeight w:val="91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Derived Variables:</w:t>
            </w:r>
          </w:p>
          <w:p>
            <w:pPr>
              <w:pStyle w:val="Normal"/>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p>
            <w:pPr>
              <w:pStyle w:val="Normal"/>
              <w:rPr>
                <w:rFonts w:ascii="Arial" w:hAnsi="Arial" w:cs="Arial"/>
                <w:sz w:val="22"/>
                <w:szCs w:val="22"/>
              </w:rPr>
            </w:pPr>
            <w:r>
              <w:rPr>
                <w:rFonts w:cs="Arial" w:ascii="Arial" w:hAnsi="Arial"/>
                <w:sz w:val="22"/>
                <w:szCs w:val="22"/>
              </w:rPr>
            </w:r>
          </w:p>
        </w:tc>
      </w:tr>
      <w:tr>
        <w:trPr>
          <w:trHeight w:val="91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 xml:space="preserve">Keywords/Related Concepts: </w:t>
            </w:r>
          </w:p>
          <w:p>
            <w:pPr>
              <w:pStyle w:val="Normal"/>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1-hydroxypyrene, 1-HOP, urine assay, cigarette smoke, smoking, tobacco, environmental tobacco smoke, ETS, carcinogen metabolite, tobacco regulatory research, TRR, carcinogen, agent, ETS exposure </w:t>
            </w:r>
          </w:p>
        </w:tc>
      </w:tr>
    </w:tbl>
    <w:p>
      <w:pPr>
        <w:pStyle w:val="Normal"/>
        <w:rPr>
          <w:rFonts w:ascii="Arial" w:hAnsi="Arial" w:cs="Arial"/>
          <w:sz w:val="22"/>
          <w:szCs w:val="22"/>
        </w:rPr>
      </w:pPr>
      <w:r>
        <w:rPr>
          <w:rFonts w:cs="Arial" w:ascii="Arial" w:hAnsi="Arial"/>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Gering, August" w:date="2015-02-18T17:24:00Z" w:initials="GA">
    <w:p>
      <w:r>
        <w:rPr>
          <w:rFonts w:ascii="Times New Roman" w:hAnsi="Times New Roman" w:eastAsia="Times New Roman" w:cs="Times New Roman"/>
          <w:color w:val="auto"/>
          <w:sz w:val="20"/>
          <w:szCs w:val="20"/>
          <w:lang w:eastAsia="en-US" w:val="en-US" w:bidi="ar-SA"/>
        </w:rPr>
        <w:t>Define acronym?</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Calibri">
    <w:charset w:val="00"/>
    <w:family w:val="swiss"/>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 w:ascii="Arial" w:hAnsi="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cs="Times New Roman"/>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Symbol"/>
      <w:b/>
      <w:bCs/>
    </w:rPr>
  </w:style>
  <w:style w:type="character" w:styleId="WW8Num12z0">
    <w:name w:val="WW8Num12z0"/>
    <w:qFormat/>
    <w:rPr>
      <w:b w:val="false"/>
      <w:bCs w:val="false"/>
    </w:rPr>
  </w:style>
  <w:style w:type="character" w:styleId="WW8Num13z0">
    <w:name w:val="WW8Num13z0"/>
    <w:qFormat/>
    <w:rPr>
      <w:rFonts w:ascii="Symbol" w:hAnsi="Symbol" w:cs="Symbol"/>
      <w:b/>
      <w:bCs/>
    </w:rPr>
  </w:style>
  <w:style w:type="character" w:styleId="WW8Num14z0">
    <w:name w:val="WW8Num14z0"/>
    <w:qFormat/>
    <w:rPr/>
  </w:style>
  <w:style w:type="character" w:styleId="WW8Num15z0">
    <w:name w:val="WW8Num15z0"/>
    <w:qFormat/>
    <w:rPr>
      <w:rFonts w:ascii="Arial" w:hAnsi="Arial" w:eastAsia="Times New Roman" w:cs="Arial"/>
      <w:sz w:val="22"/>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b/>
      <w:bCs/>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 w:hAnsi="Arial" w:cs="Arial"/>
      <w:color w:val="000080"/>
      <w:sz w:val="20"/>
      <w:szCs w:val="20"/>
    </w:rPr>
  </w:style>
  <w:style w:type="character" w:styleId="StrongEmphasis">
    <w:name w:val="Strong Emphasis"/>
    <w:qFormat/>
    <w:rPr>
      <w:b/>
      <w:bCs/>
    </w:rPr>
  </w:style>
  <w:style w:type="character" w:styleId="PlainTextChar">
    <w:name w:val="Plain Text Char"/>
    <w:qFormat/>
    <w:rPr>
      <w:rFonts w:ascii="Calibri" w:hAnsi="Calibri" w:eastAsia="Calibri" w:cs="Arial"/>
      <w:sz w:val="22"/>
      <w:szCs w:val="21"/>
    </w:rPr>
  </w:style>
  <w:style w:type="character" w:styleId="FootnoteTextChar">
    <w:name w:val="Footnote Text Char"/>
    <w:basedOn w:val="DefaultParagraphFont"/>
    <w:qFormat/>
    <w:rPr/>
  </w:style>
  <w:style w:type="character" w:styleId="FootnoteCharacters">
    <w:name w:val="Footnote Characters"/>
    <w:qFormat/>
    <w:rPr>
      <w:vertAlign w:val="superscript"/>
    </w:rPr>
  </w:style>
  <w:style w:type="character" w:styleId="HeaderChar">
    <w:name w:val="Header Char"/>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PlainText">
    <w:name w:val="Plain Text"/>
    <w:basedOn w:val="Normal"/>
    <w:qFormat/>
    <w:pPr/>
    <w:rPr>
      <w:rFonts w:ascii="Calibri" w:hAnsi="Calibri" w:eastAsia="Calibri" w:cs="Arial"/>
      <w:sz w:val="22"/>
      <w:szCs w:val="21"/>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Footnote">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2015-08-07T16:00:00Z</dcterms:created>
  <dc:creator>mjp</dc:creator>
  <dc:description/>
  <cp:keywords/>
  <dc:language>en-US</dc:language>
  <cp:lastModifiedBy>Gaddis, Nathan</cp:lastModifiedBy>
  <cp:lastPrinted>2010-06-01T11:51:00Z</cp:lastPrinted>
  <dcterms:modified xsi:type="dcterms:W3CDTF">2015-08-07T16:00:00Z</dcterms:modified>
  <cp:revision>3</cp:revision>
  <dc:subject/>
  <dc:title>Birthplace</dc:title>
</cp:coreProperties>
</file>