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Sickle Cell Disease: Cardiovascular, Pulmonary, and Renal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Liver Iron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measure to quantify iron in the liver using magnetic resonance imaging (MRI).</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This protocol includes a brief background describing how magnetic resonance imaging (MRI) is used to determine the concentration of iron in the liver and provides references for quantifying liver iron by MRI R2*.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color w:val="000000"/>
                <w:sz w:val="22"/>
                <w:szCs w:val="22"/>
              </w:rPr>
            </w:pPr>
            <w:r>
              <w:rPr>
                <w:rFonts w:cs="Arial" w:ascii="Arial" w:hAnsi="Arial"/>
                <w:b/>
                <w:bCs/>
                <w:color w:val="000000"/>
                <w:sz w:val="22"/>
                <w:szCs w:val="22"/>
              </w:rPr>
              <w:t>Description of Quantification of Liver Iron by Magnetic Resonance Imaging (MRI)</w:t>
            </w:r>
          </w:p>
          <w:p>
            <w:pPr>
              <w:pStyle w:val="Normal"/>
              <w:autoSpaceDE w:val="false"/>
              <w:rPr>
                <w:rFonts w:ascii="Arial" w:hAnsi="Arial" w:cs="Arial"/>
                <w:b/>
                <w:b/>
                <w:bCs/>
                <w:color w:val="000000"/>
                <w:sz w:val="22"/>
                <w:szCs w:val="22"/>
              </w:rPr>
            </w:pPr>
            <w:r>
              <w:rPr>
                <w:rFonts w:cs="Arial" w:ascii="Arial" w:hAnsi="Arial"/>
                <w:b/>
                <w:bCs/>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MRI indirectly visualizes iron by imaging water protons as they diffuse near iron deposits. In tissues with significant iron concentrations, the magnetic iron deposits destroy the homogeneity of the magnetic field. Water protons moving through these significantly different magnetic profiles become desynchronized from one another causing the MRI image to darken at a rate proportional to the iron concentration.</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MRI images for determination of iron content are generated by refocusing the desynchronized water protons either by a radio-frequency (rf) pulse, termed a spin echo, or by an additional magnetic field known as a gradient, termed a gradient echo. The longer the echo times (TE), the darker the images. The decline in image intensity is characterized by a half-life time constant, known as T2 if a spin echo is used, or T2* if a gradient echo is used. The reciprocal of the time constant, or the rate of image darkening, is known as R2 (reciprocal of T2) or R2* (reciprocal of T2*).      </w:t>
            </w:r>
          </w:p>
          <w:p>
            <w:pPr>
              <w:pStyle w:val="Normal"/>
              <w:autoSpaceDE w:val="false"/>
              <w:rPr>
                <w:rFonts w:ascii="Arial" w:hAnsi="Arial" w:cs="Arial"/>
                <w:b/>
                <w:b/>
                <w:bCs/>
                <w:color w:val="000000"/>
                <w:sz w:val="22"/>
                <w:szCs w:val="22"/>
              </w:rPr>
            </w:pPr>
            <w:r>
              <w:rPr>
                <w:rFonts w:cs="Arial" w:ascii="Arial" w:hAnsi="Arial"/>
                <w:b/>
                <w:bCs/>
                <w:color w:val="000000"/>
                <w:sz w:val="22"/>
                <w:szCs w:val="22"/>
              </w:rPr>
            </w:r>
          </w:p>
          <w:p>
            <w:pPr>
              <w:pStyle w:val="Normal"/>
              <w:autoSpaceDE w:val="false"/>
              <w:rPr>
                <w:rFonts w:ascii="Arial" w:hAnsi="Arial" w:cs="Arial"/>
                <w:b/>
                <w:b/>
                <w:bCs/>
                <w:sz w:val="22"/>
                <w:szCs w:val="22"/>
              </w:rPr>
            </w:pPr>
            <w:r>
              <w:rPr>
                <w:rFonts w:cs="Arial" w:ascii="Arial" w:hAnsi="Arial"/>
                <w:b/>
                <w:bCs/>
                <w:sz w:val="22"/>
                <w:szCs w:val="22"/>
              </w:rPr>
              <w:t>Quantifying Liver Iron by MRI R2*</w:t>
            </w:r>
          </w:p>
          <w:p>
            <w:pPr>
              <w:pStyle w:val="Normal"/>
              <w:autoSpaceDE w:val="false"/>
              <w:rPr>
                <w:rFonts w:ascii="Arial" w:hAnsi="Arial" w:cs="Arial"/>
                <w:sz w:val="22"/>
                <w:szCs w:val="22"/>
              </w:rPr>
            </w:pPr>
            <w:r>
              <w:rPr>
                <w:rFonts w:cs="Arial" w:ascii="Arial" w:hAnsi="Arial"/>
                <w:sz w:val="22"/>
                <w:szCs w:val="22"/>
              </w:rPr>
              <w:t>A description of MR studies for the determination of liver R2* can be found in the Methods section of Garbowski et al., 2014.</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A description of MR studies for determination of R2 by Ferriscan can be found in the Methods section of St. Pierre et al., 2005.</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A description of MR studies for determination of LIC by signal intensity ratio’s can be found in the Methods section of Gandon et al., 2004.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Style w:val="DefaultChar"/>
                <w:sz w:val="22"/>
                <w:szCs w:val="22"/>
              </w:rPr>
              <w:t>All ages</w:t>
            </w:r>
          </w:p>
        </w:tc>
      </w:tr>
      <w:tr>
        <w:trPr>
          <w:trHeight w:val="370"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color w:val="000000"/>
                <w:sz w:val="22"/>
                <w:szCs w:val="22"/>
              </w:rPr>
            </w:pPr>
            <w:r>
              <w:rPr>
                <w:rFonts w:cs="Arial" w:ascii="Arial" w:hAnsi="Arial"/>
                <w:b/>
                <w:bCs/>
                <w:color w:val="000000"/>
                <w:sz w:val="22"/>
                <w:szCs w:val="22"/>
              </w:rPr>
              <w:t>Description of Quantification of Liver Iron by Magnetic Resonance Imaging (MRI)</w:t>
            </w:r>
          </w:p>
          <w:p>
            <w:pPr>
              <w:pStyle w:val="NormalWeb"/>
              <w:spacing w:before="0" w:after="0"/>
              <w:rPr/>
            </w:pPr>
            <w:r>
              <w:rPr>
                <w:rFonts w:cs="Arial" w:ascii="Arial" w:hAnsi="Arial"/>
                <w:color w:val="000000"/>
                <w:sz w:val="22"/>
                <w:szCs w:val="22"/>
              </w:rPr>
              <w:t xml:space="preserve">Wood, J. C., &amp; Ghugre, N. (2008). Magnetic resonance imaging assessment of excess iron in thalassemia, sickle cell disease, and other iron overload diseases. </w:t>
            </w:r>
            <w:r>
              <w:rPr>
                <w:rFonts w:cs="Arial" w:ascii="Arial" w:hAnsi="Arial"/>
                <w:i/>
                <w:color w:val="000000"/>
                <w:sz w:val="22"/>
                <w:szCs w:val="22"/>
              </w:rPr>
              <w:t>Hemoglobin, 32</w:t>
            </w:r>
            <w:r>
              <w:rPr>
                <w:rFonts w:cs="Arial" w:ascii="Arial" w:hAnsi="Arial"/>
                <w:color w:val="000000"/>
                <w:sz w:val="22"/>
                <w:szCs w:val="22"/>
              </w:rPr>
              <w:t xml:space="preserve">(1-2), 85-96. </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b/>
                <w:b/>
                <w:bCs/>
                <w:sz w:val="22"/>
                <w:szCs w:val="22"/>
              </w:rPr>
            </w:pPr>
            <w:r>
              <w:rPr>
                <w:rFonts w:cs="Arial" w:ascii="Arial" w:hAnsi="Arial"/>
                <w:b/>
                <w:bCs/>
                <w:sz w:val="22"/>
                <w:szCs w:val="22"/>
              </w:rPr>
              <w:t>Quantifying Liver Iron by MRI R2*</w:t>
            </w:r>
          </w:p>
          <w:p>
            <w:pPr>
              <w:pStyle w:val="NormalWeb"/>
              <w:spacing w:before="0" w:after="0"/>
              <w:rPr/>
            </w:pPr>
            <w:r>
              <w:rPr>
                <w:rFonts w:cs="Arial" w:ascii="Arial" w:hAnsi="Arial"/>
                <w:color w:val="000000"/>
                <w:sz w:val="22"/>
                <w:szCs w:val="22"/>
              </w:rPr>
              <w:t xml:space="preserve">Garbowski, M. W., Carpenter, J. P., Smith, G., Roughton, M., Alam, M. H., He, T., Pennell, D. J., &amp; Porter, J. B. (2014). Biopsy-based calibration of T2* magnetic resonance for estimation of liver iron concentration and comparison with R2 Ferriscan. </w:t>
            </w:r>
            <w:r>
              <w:rPr>
                <w:rFonts w:cs="Arial" w:ascii="Arial" w:hAnsi="Arial"/>
                <w:i/>
                <w:color w:val="000000"/>
                <w:sz w:val="22"/>
                <w:szCs w:val="22"/>
              </w:rPr>
              <w:t>Journal of Cardiovascular Magnetic Resonance, 16</w:t>
            </w:r>
            <w:r>
              <w:rPr>
                <w:rFonts w:cs="Arial" w:ascii="Arial" w:hAnsi="Arial"/>
                <w:color w:val="000000"/>
                <w:sz w:val="22"/>
                <w:szCs w:val="22"/>
              </w:rPr>
              <w:t>, 40.</w:t>
            </w:r>
          </w:p>
          <w:p>
            <w:pPr>
              <w:pStyle w:val="NormalWeb"/>
              <w:spacing w:before="0" w:after="0"/>
              <w:rPr>
                <w:rFonts w:ascii="Arial" w:hAnsi="Arial" w:cs="Arial"/>
                <w:color w:val="000000"/>
                <w:sz w:val="22"/>
                <w:szCs w:val="22"/>
              </w:rPr>
            </w:pPr>
            <w:r>
              <w:rPr>
                <w:rFonts w:cs="Arial" w:ascii="Arial" w:hAnsi="Arial"/>
                <w:color w:val="000000"/>
                <w:sz w:val="22"/>
                <w:szCs w:val="22"/>
              </w:rPr>
            </w:r>
          </w:p>
          <w:p>
            <w:pPr>
              <w:pStyle w:val="NormalWeb"/>
              <w:spacing w:before="60" w:after="0"/>
              <w:rPr>
                <w:rFonts w:ascii="Arial" w:hAnsi="Arial" w:cs="Arial"/>
                <w:color w:val="000000"/>
                <w:sz w:val="22"/>
                <w:szCs w:val="22"/>
              </w:rPr>
            </w:pPr>
            <w:r>
              <w:rPr>
                <w:rFonts w:cs="Arial" w:ascii="Arial" w:hAnsi="Arial"/>
                <w:color w:val="000000"/>
                <w:sz w:val="22"/>
                <w:szCs w:val="22"/>
              </w:rPr>
              <w:t xml:space="preserve">St. Pierre, T. G., Clark, P. R., Chua-anusom, W., Fleming, A. J., Jeffrey, G. P., Olynyk, J. K., Pootrakul, P., Robins, E., &amp; Lindeman, R. (2005). Noninvasive measurement and imaging of liver iron concentration using proton magnetic resonance. </w:t>
            </w:r>
            <w:r>
              <w:rPr>
                <w:rFonts w:cs="Arial" w:ascii="Arial" w:hAnsi="Arial"/>
                <w:i/>
                <w:color w:val="000000"/>
                <w:sz w:val="22"/>
                <w:szCs w:val="22"/>
              </w:rPr>
              <w:t>Blood, 105</w:t>
            </w:r>
            <w:r>
              <w:rPr>
                <w:rFonts w:cs="Arial" w:ascii="Arial" w:hAnsi="Arial"/>
                <w:color w:val="000000"/>
                <w:sz w:val="22"/>
                <w:szCs w:val="22"/>
              </w:rPr>
              <w:t xml:space="preserve">(2), 855-861. </w:t>
            </w:r>
          </w:p>
          <w:p>
            <w:pPr>
              <w:pStyle w:val="Normal"/>
              <w:spacing w:before="0" w:after="0"/>
              <w:rPr>
                <w:rFonts w:ascii="Arial" w:hAnsi="Arial" w:cs="Arial"/>
                <w:sz w:val="22"/>
                <w:szCs w:val="22"/>
              </w:rPr>
            </w:pPr>
            <w:r>
              <w:rPr>
                <w:rFonts w:cs="Arial" w:ascii="Arial" w:hAnsi="Arial"/>
                <w:sz w:val="22"/>
                <w:szCs w:val="22"/>
              </w:rPr>
              <w:t xml:space="preserve">Gandon, Y., Olivie, D., Guyader, D., Aube, C., Oberti, F., Sebille, V., &amp; Deugnier, Y. (2004). Non-invasive assessment of hepatic iron stores by MRI. </w:t>
            </w:r>
            <w:r>
              <w:rPr>
                <w:rFonts w:cs="Arial" w:ascii="Arial" w:hAnsi="Arial"/>
                <w:i/>
                <w:sz w:val="22"/>
                <w:szCs w:val="22"/>
              </w:rPr>
              <w:t>Lancet, 363,</w:t>
            </w:r>
            <w:r>
              <w:rPr>
                <w:rFonts w:cs="Arial" w:ascii="Arial" w:hAnsi="Arial"/>
                <w:sz w:val="22"/>
                <w:szCs w:val="22"/>
              </w:rPr>
              <w:t xml:space="preserve"> 357-362.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 xml:space="preserve">A trained magnetic resonance imaging (MRI) technician is required to administer the MRI, and MRIs must be interpreted (“read”) by a trained radiologist, cardiologist, or other medical doctor.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A magnetic resonance imaging (MRI) machine at 1.5 Tesla and either</w:t>
            </w:r>
          </w:p>
          <w:p>
            <w:pPr>
              <w:pStyle w:val="Normal"/>
              <w:spacing w:before="0" w:after="0"/>
              <w:contextualSpacing/>
              <w:rPr>
                <w:rFonts w:ascii="Arial" w:hAnsi="Arial" w:cs="Arial"/>
                <w:sz w:val="22"/>
                <w:szCs w:val="22"/>
              </w:rPr>
            </w:pPr>
            <w:r>
              <w:rPr>
                <w:rFonts w:cs="Arial" w:ascii="Arial" w:hAnsi="Arial"/>
                <w:sz w:val="22"/>
                <w:szCs w:val="22"/>
              </w:rPr>
              <w:t>a) Multiple-echo, gradient echo sequence for R2*/T2* evaluation, or</w:t>
            </w:r>
          </w:p>
          <w:p>
            <w:pPr>
              <w:pStyle w:val="Normal"/>
              <w:spacing w:before="0" w:after="0"/>
              <w:contextualSpacing/>
              <w:rPr>
                <w:rStyle w:val="DefaultChar"/>
                <w:color w:val="000000"/>
                <w:sz w:val="22"/>
                <w:szCs w:val="22"/>
              </w:rPr>
            </w:pPr>
            <w:r>
              <w:rPr>
                <w:rFonts w:cs="Arial" w:ascii="Arial" w:hAnsi="Arial"/>
                <w:sz w:val="22"/>
                <w:szCs w:val="22"/>
              </w:rPr>
              <w:t xml:space="preserve">b) Spin-echo sequence with a minimum echo time of 6 ms.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Noncontrast magnetic resonance imaging (MRI) of the abdomen, CPT code 74181</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rFonts w:cs="Arial" w:ascii="Arial" w:hAnsi="Arial"/>
                <w:sz w:val="22"/>
                <w:szCs w:val="22"/>
              </w:rPr>
              <w:t xml:space="preserve">Ghugre, N. R., Gonzalez-Gomez, I., Butensky, E., Noetzli, L., Fischer, R., Williams, R., Harmatz, P., Coates, T. D., &amp; Wood, J. C. (2009). Patterns of hepatic iron distribution in patients with chronically transfused thalassemia and sickle cell disease. </w:t>
            </w:r>
            <w:r>
              <w:rPr>
                <w:rFonts w:cs="Arial" w:ascii="Arial" w:hAnsi="Arial"/>
                <w:i/>
                <w:sz w:val="22"/>
                <w:szCs w:val="22"/>
              </w:rPr>
              <w:t>American Journal of Hematology, 84</w:t>
            </w:r>
            <w:r>
              <w:rPr>
                <w:rFonts w:cs="Arial" w:ascii="Arial" w:hAnsi="Arial"/>
                <w:sz w:val="22"/>
                <w:szCs w:val="22"/>
              </w:rPr>
              <w:t>(8), 480-483.</w:t>
            </w:r>
          </w:p>
          <w:p>
            <w:pPr>
              <w:pStyle w:val="Normal"/>
              <w:spacing w:before="0" w:after="0"/>
              <w:rPr>
                <w:rFonts w:ascii="Arial" w:hAnsi="Arial" w:cs="Arial"/>
                <w:sz w:val="22"/>
                <w:szCs w:val="22"/>
              </w:rPr>
            </w:pPr>
            <w:r>
              <w:rPr>
                <w:rFonts w:cs="Arial" w:ascii="Arial" w:hAnsi="Arial"/>
                <w:sz w:val="22"/>
                <w:szCs w:val="22"/>
              </w:rPr>
              <w:t xml:space="preserve">St. Pierre T. G., El-Beshlawy, A., Elaify, M., Al Jefri, A., Al Dir, K., Daar, S., Habr, D., Kriemier-Krahn, U., &amp; Taher, A. (2014). Multicenter validation of spin-density projection assisted R2-MRI for the noninvasive measurement of liver iron concentration. </w:t>
            </w:r>
            <w:r>
              <w:rPr>
                <w:rFonts w:cs="Arial" w:ascii="Arial" w:hAnsi="Arial"/>
                <w:i/>
                <w:sz w:val="22"/>
                <w:szCs w:val="22"/>
              </w:rPr>
              <w:t>Magnetic Resonance in Medicine,</w:t>
            </w:r>
            <w:r>
              <w:rPr>
                <w:rFonts w:cs="Arial" w:ascii="Arial" w:hAnsi="Arial"/>
                <w:sz w:val="22"/>
                <w:szCs w:val="22"/>
              </w:rPr>
              <w:t xml:space="preserve"> </w:t>
            </w:r>
            <w:r>
              <w:rPr>
                <w:rFonts w:cs="Arial" w:ascii="Arial" w:hAnsi="Arial"/>
                <w:i/>
                <w:sz w:val="22"/>
                <w:szCs w:val="22"/>
              </w:rPr>
              <w:t>71</w:t>
            </w:r>
            <w:r>
              <w:rPr>
                <w:rFonts w:cs="Arial" w:ascii="Arial" w:hAnsi="Arial"/>
                <w:sz w:val="22"/>
                <w:szCs w:val="22"/>
              </w:rPr>
              <w:t>(6), 2215-2223.</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Liver Iron</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Sickle Cell Disease: Cardiovascular, Pulmonary, and Renal</w:t>
    </w:r>
  </w:p>
  <w:p>
    <w:pPr>
      <w:pStyle w:val="Normal"/>
      <w:rPr>
        <w:rFonts w:ascii="Arial" w:hAnsi="Arial" w:cs="Arial"/>
        <w:b/>
        <w:b/>
        <w:sz w:val="20"/>
        <w:szCs w:val="20"/>
      </w:rPr>
    </w:pPr>
    <w:r>
      <w:rPr>
        <w:rFonts w:cs="Arial" w:ascii="Arial" w:hAnsi="Arial"/>
        <w:b/>
        <w:sz w:val="20"/>
        <w:szCs w:val="20"/>
      </w:rPr>
      <w:t>Release Date: TBD</w:t>
    </w:r>
  </w:p>
  <w:p>
    <w:pPr>
      <w:pStyle w:val="Normal"/>
      <w:rPr/>
    </w:pPr>
    <w:r>
      <w:rPr>
        <w:rFonts w:cs="Arial" w:ascii="Arial" w:hAnsi="Arial"/>
        <w:b/>
        <w:bCs/>
        <w:sz w:val="20"/>
        <w:szCs w:val="20"/>
      </w:rPr>
      <w:t>Liver Iron</w:t>
    </w:r>
    <w:r>
      <w:rPr>
        <w:rFonts w:cs="Arial" w:ascii="Arial" w:hAnsi="Arial"/>
        <w:b/>
        <w:sz w:val="20"/>
        <w:szCs w:val="20"/>
      </w:rPr>
      <w:tab/>
      <w:tab/>
      <w:tab/>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WW8Num3z0">
    <w:name w:val="WW8Num3z0"/>
    <w:qFormat/>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Arial"/>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Arial"/>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Arial"/>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Icon">
    <w:name w:val="icon"/>
    <w:qFormat/>
    <w:rPr/>
  </w:style>
  <w:style w:type="character" w:styleId="Emphasis">
    <w:name w:val="Emphasis"/>
    <w:qFormat/>
    <w:rPr>
      <w:i/>
      <w:iCs/>
    </w:rPr>
  </w:style>
  <w:style w:type="character" w:styleId="Appleconvertedspace">
    <w:name w:val="apple-converted-space"/>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lang w:val="en-US"/>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ColorfulListAccent11">
    <w:name w:val="Colorful List - Accent 11"/>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ColorfulShadingAccent11">
    <w:name w:val="Colorful Shading - Accent 11"/>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2015-05-20T15:15:00Z</dcterms:created>
  <dc:creator>whuggins</dc:creator>
  <dc:description/>
  <cp:keywords/>
  <dc:language>en-US</dc:language>
  <cp:lastModifiedBy>Grant, Tracey</cp:lastModifiedBy>
  <cp:lastPrinted>2015-05-07T11:00:00Z</cp:lastPrinted>
  <dcterms:modified xsi:type="dcterms:W3CDTF">2015-05-20T15:15:00Z</dcterms:modified>
  <cp:revision>2</cp:revision>
  <dc:subject/>
  <dc:title/>
</cp:coreProperties>
</file>