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Sickle Cell Disease: Cardiovascular, Pulmonary, and Renal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Brachial Artery Relaxivity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A measure to assess the endothelial function in the brachial artery. </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sz w:val="22"/>
                <w:szCs w:val="22"/>
              </w:rPr>
              <w:t>Flow-mediated dilation (FMD) of the brachial artery is a high-frequency ultrasound method to obtain imaging of the brachial artery to assess endothelial function. Endothelial function has been associated as a factor in the pathology of various medical conditions, such as congestive heart failure, atherosclerosis, and hypertension.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b/>
                <w:b/>
                <w:bCs/>
                <w:sz w:val="22"/>
                <w:szCs w:val="22"/>
              </w:rPr>
            </w:pPr>
            <w:r>
              <w:rPr>
                <w:rFonts w:cs="Arial" w:ascii="Arial" w:hAnsi="Arial"/>
                <w:b/>
                <w:bCs/>
                <w:sz w:val="22"/>
                <w:szCs w:val="22"/>
              </w:rPr>
              <w:t>Summary of the International Brachial Artery Reactivity Task Force Guidelines for Flow-Mediated Vasodilation (FMD) of the Brachial Artery:</w:t>
            </w:r>
          </w:p>
          <w:p>
            <w:pPr>
              <w:pStyle w:val="Normal"/>
              <w:autoSpaceDE w:val="false"/>
              <w:rPr>
                <w:rFonts w:ascii="Arial" w:hAnsi="Arial" w:cs="Arial"/>
                <w:b/>
                <w:b/>
                <w:bCs/>
                <w:sz w:val="22"/>
                <w:szCs w:val="22"/>
              </w:rPr>
            </w:pPr>
            <w:r>
              <w:rPr>
                <w:rFonts w:cs="Arial" w:ascii="Arial" w:hAnsi="Arial"/>
                <w:b/>
                <w:bCs/>
                <w:sz w:val="22"/>
                <w:szCs w:val="22"/>
              </w:rPr>
            </w:r>
          </w:p>
          <w:p>
            <w:pPr>
              <w:pStyle w:val="Normal"/>
              <w:autoSpaceDE w:val="false"/>
              <w:rPr>
                <w:rFonts w:ascii="Arial" w:hAnsi="Arial" w:cs="Arial"/>
                <w:b/>
                <w:b/>
                <w:bCs/>
                <w:sz w:val="22"/>
                <w:szCs w:val="22"/>
              </w:rPr>
            </w:pPr>
            <w:r>
              <w:rPr>
                <w:rFonts w:cs="Arial" w:ascii="Arial" w:hAnsi="Arial"/>
                <w:b/>
                <w:bCs/>
                <w:sz w:val="22"/>
                <w:szCs w:val="22"/>
              </w:rPr>
              <w:t>Subject Preparation</w:t>
            </w:r>
          </w:p>
          <w:p>
            <w:pPr>
              <w:pStyle w:val="Normal"/>
              <w:numPr>
                <w:ilvl w:val="0"/>
                <w:numId w:val="1"/>
              </w:numPr>
              <w:autoSpaceDE w:val="false"/>
              <w:rPr>
                <w:rFonts w:ascii="Arial" w:hAnsi="Arial" w:cs="Arial"/>
                <w:b/>
                <w:b/>
                <w:bCs/>
                <w:sz w:val="22"/>
                <w:szCs w:val="22"/>
              </w:rPr>
            </w:pPr>
            <w:r>
              <w:rPr>
                <w:rFonts w:cs="Arial" w:ascii="Arial" w:hAnsi="Arial"/>
                <w:sz w:val="22"/>
                <w:szCs w:val="22"/>
              </w:rPr>
              <w:t>Subjects should fast at least 8 to 12 hours before the FMD study</w:t>
            </w:r>
          </w:p>
          <w:p>
            <w:pPr>
              <w:pStyle w:val="Normal"/>
              <w:numPr>
                <w:ilvl w:val="0"/>
                <w:numId w:val="1"/>
              </w:numPr>
              <w:autoSpaceDE w:val="false"/>
              <w:rPr>
                <w:rFonts w:ascii="Arial" w:hAnsi="Arial" w:cs="Arial"/>
                <w:b/>
                <w:b/>
                <w:bCs/>
                <w:sz w:val="22"/>
                <w:szCs w:val="22"/>
              </w:rPr>
            </w:pPr>
            <w:r>
              <w:rPr>
                <w:rFonts w:cs="Arial" w:ascii="Arial" w:hAnsi="Arial"/>
                <w:sz w:val="22"/>
                <w:szCs w:val="22"/>
              </w:rPr>
              <w:t xml:space="preserve">For at least 4 to 6 hours before the FMD study, subjects should </w:t>
            </w:r>
            <w:r>
              <w:rPr>
                <w:rFonts w:cs="Arial" w:ascii="Arial" w:hAnsi="Arial"/>
                <w:sz w:val="22"/>
                <w:szCs w:val="22"/>
                <w:u w:val="single"/>
              </w:rPr>
              <w:t>not</w:t>
            </w:r>
            <w:r>
              <w:rPr>
                <w:rFonts w:cs="Arial" w:ascii="Arial" w:hAnsi="Arial"/>
                <w:sz w:val="22"/>
                <w:szCs w:val="22"/>
              </w:rPr>
              <w:t xml:space="preserve"> exercise, use tobacco, or have substances that could affect FMD such as high-fat foods, vitamin C, and caffeine</w:t>
            </w:r>
          </w:p>
          <w:p>
            <w:pPr>
              <w:pStyle w:val="Normal"/>
              <w:numPr>
                <w:ilvl w:val="0"/>
                <w:numId w:val="1"/>
              </w:numPr>
              <w:autoSpaceDE w:val="false"/>
              <w:rPr/>
            </w:pPr>
            <w:r>
              <w:rPr>
                <w:rFonts w:cs="Arial" w:ascii="Arial" w:hAnsi="Arial"/>
                <w:sz w:val="22"/>
                <w:szCs w:val="22"/>
              </w:rPr>
              <w:t>If possible, vasoactive medications should be withheld for at least four half-lives</w:t>
            </w:r>
          </w:p>
          <w:p>
            <w:pPr>
              <w:pStyle w:val="Normal"/>
              <w:numPr>
                <w:ilvl w:val="0"/>
                <w:numId w:val="1"/>
              </w:numPr>
              <w:autoSpaceDE w:val="false"/>
              <w:rPr>
                <w:rFonts w:ascii="Arial" w:hAnsi="Arial" w:cs="Arial"/>
                <w:sz w:val="22"/>
                <w:szCs w:val="22"/>
              </w:rPr>
            </w:pPr>
            <w:r>
              <w:rPr>
                <w:rFonts w:cs="Arial" w:ascii="Arial" w:hAnsi="Arial"/>
                <w:sz w:val="22"/>
                <w:szCs w:val="22"/>
              </w:rPr>
              <w:t>FMD should be performed in a quiet, temperature-controlled room</w:t>
            </w:r>
          </w:p>
          <w:p>
            <w:pPr>
              <w:pStyle w:val="Normal"/>
              <w:autoSpaceDE w:val="false"/>
              <w:ind w:left="720" w:hanging="0"/>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rPr>
            </w:pPr>
            <w:r>
              <w:rPr>
                <w:rFonts w:cs="Arial" w:ascii="Arial" w:hAnsi="Arial"/>
                <w:b/>
                <w:bCs/>
                <w:sz w:val="22"/>
                <w:szCs w:val="22"/>
              </w:rPr>
              <w:t>Equipment</w:t>
            </w:r>
          </w:p>
          <w:p>
            <w:pPr>
              <w:pStyle w:val="Normal"/>
              <w:numPr>
                <w:ilvl w:val="0"/>
                <w:numId w:val="1"/>
              </w:numPr>
              <w:autoSpaceDE w:val="false"/>
              <w:rPr>
                <w:rFonts w:ascii="Arial" w:hAnsi="Arial" w:cs="Arial"/>
                <w:sz w:val="22"/>
                <w:szCs w:val="22"/>
              </w:rPr>
            </w:pPr>
            <w:r>
              <w:rPr>
                <w:rFonts w:cs="Arial" w:ascii="Arial" w:hAnsi="Arial"/>
                <w:sz w:val="22"/>
                <w:szCs w:val="22"/>
              </w:rPr>
              <w:t>Ultrasound systems equipped with vascular software for two-dimensional (2D) imaging, color and spectral Doppler, an internal electrocardiogram (ECG) monitor and a high-frequency vascular transducer.</w:t>
            </w:r>
          </w:p>
          <w:p>
            <w:pPr>
              <w:pStyle w:val="Normal"/>
              <w:numPr>
                <w:ilvl w:val="0"/>
                <w:numId w:val="1"/>
              </w:numPr>
              <w:autoSpaceDE w:val="false"/>
              <w:rPr>
                <w:rFonts w:ascii="Arial" w:hAnsi="Arial" w:cs="Arial"/>
                <w:sz w:val="22"/>
                <w:szCs w:val="22"/>
              </w:rPr>
            </w:pPr>
            <w:r>
              <w:rPr>
                <w:rFonts w:cs="Arial" w:ascii="Arial" w:hAnsi="Arial"/>
                <w:sz w:val="22"/>
                <w:szCs w:val="22"/>
              </w:rPr>
              <w:t>Linear array transducer with frequency of at least 7 megahertz (MHz).</w:t>
            </w:r>
          </w:p>
          <w:p>
            <w:pPr>
              <w:pStyle w:val="Normal"/>
              <w:autoSpaceDE w:val="false"/>
              <w:ind w:left="720" w:hanging="0"/>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2"/>
                <w:szCs w:val="22"/>
              </w:rPr>
            </w:pPr>
            <w:r>
              <w:rPr>
                <w:rFonts w:cs="Arial" w:ascii="Arial" w:hAnsi="Arial"/>
                <w:sz w:val="22"/>
                <w:szCs w:val="22"/>
              </w:rPr>
              <w:t>I</w:t>
            </w:r>
            <w:r>
              <w:rPr>
                <w:rFonts w:cs="Arial" w:ascii="Arial" w:hAnsi="Arial"/>
                <w:b/>
                <w:bCs/>
                <w:sz w:val="22"/>
                <w:szCs w:val="22"/>
              </w:rPr>
              <w:t>mage Acquisition</w:t>
            </w:r>
          </w:p>
          <w:p>
            <w:pPr>
              <w:pStyle w:val="Normal"/>
              <w:numPr>
                <w:ilvl w:val="0"/>
                <w:numId w:val="1"/>
              </w:numPr>
              <w:autoSpaceDE w:val="false"/>
              <w:rPr/>
            </w:pPr>
            <w:r>
              <w:rPr>
                <w:rFonts w:cs="Arial" w:ascii="Arial" w:hAnsi="Arial"/>
                <w:sz w:val="22"/>
                <w:szCs w:val="22"/>
              </w:rPr>
              <w:t>Subjects should be in a supine position with the arm in a comfortable position for imaging the brachial artery</w:t>
            </w:r>
          </w:p>
          <w:p>
            <w:pPr>
              <w:pStyle w:val="Normal"/>
              <w:numPr>
                <w:ilvl w:val="0"/>
                <w:numId w:val="1"/>
              </w:numPr>
              <w:autoSpaceDE w:val="false"/>
              <w:rPr>
                <w:rFonts w:ascii="Arial" w:hAnsi="Arial" w:cs="Arial"/>
                <w:sz w:val="22"/>
                <w:szCs w:val="22"/>
              </w:rPr>
            </w:pPr>
            <w:r>
              <w:rPr>
                <w:rFonts w:cs="Arial" w:ascii="Arial" w:hAnsi="Arial"/>
                <w:sz w:val="22"/>
                <w:szCs w:val="22"/>
              </w:rPr>
              <w:t>Image the brachial artery in the longitudinal plane above the antecubital fossa.</w:t>
            </w:r>
          </w:p>
          <w:p>
            <w:pPr>
              <w:pStyle w:val="Normal"/>
              <w:numPr>
                <w:ilvl w:val="0"/>
                <w:numId w:val="1"/>
              </w:numPr>
              <w:autoSpaceDE w:val="false"/>
              <w:rPr>
                <w:rFonts w:ascii="Arial" w:hAnsi="Arial" w:cs="Arial"/>
                <w:sz w:val="22"/>
                <w:szCs w:val="22"/>
              </w:rPr>
            </w:pPr>
            <w:r>
              <w:rPr>
                <w:rFonts w:cs="Arial" w:ascii="Arial" w:hAnsi="Arial"/>
                <w:sz w:val="22"/>
                <w:szCs w:val="22"/>
              </w:rPr>
              <w:t>Continuous 2D grayscale imaging is performed on a segment of the brachial artery with clear anterior and posterior intimal interfaces between the lumen and vessel wall.</w:t>
            </w:r>
          </w:p>
          <w:p>
            <w:pPr>
              <w:pStyle w:val="Normal"/>
              <w:numPr>
                <w:ilvl w:val="0"/>
                <w:numId w:val="1"/>
              </w:numPr>
              <w:autoSpaceDE w:val="false"/>
              <w:rPr>
                <w:rFonts w:ascii="Arial" w:hAnsi="Arial" w:cs="Arial"/>
                <w:sz w:val="22"/>
                <w:szCs w:val="22"/>
              </w:rPr>
            </w:pPr>
            <w:r>
              <w:rPr>
                <w:rFonts w:cs="Arial" w:ascii="Arial" w:hAnsi="Arial"/>
                <w:sz w:val="22"/>
                <w:szCs w:val="22"/>
              </w:rPr>
              <w:t>Maintain image orientation by noting anatomic landmarks (e.g., veins, fascial planes).</w:t>
            </w:r>
          </w:p>
          <w:p>
            <w:pPr>
              <w:pStyle w:val="Normal"/>
              <w:autoSpaceDE w:val="false"/>
              <w:ind w:left="720" w:hanging="0"/>
              <w:rPr>
                <w:rFonts w:ascii="Arial" w:hAnsi="Arial" w:cs="Arial"/>
                <w:sz w:val="22"/>
                <w:szCs w:val="22"/>
              </w:rPr>
            </w:pPr>
            <w:r>
              <w:rPr>
                <w:rFonts w:cs="Arial" w:ascii="Arial" w:hAnsi="Arial"/>
                <w:sz w:val="22"/>
                <w:szCs w:val="22"/>
              </w:rPr>
            </w:r>
          </w:p>
          <w:p>
            <w:pPr>
              <w:pStyle w:val="Normal"/>
              <w:autoSpaceDE w:val="false"/>
              <w:rPr/>
            </w:pPr>
            <w:r>
              <w:rPr>
                <w:rFonts w:cs="Arial" w:ascii="Arial" w:hAnsi="Arial"/>
                <w:b/>
                <w:bCs/>
                <w:sz w:val="22"/>
                <w:szCs w:val="22"/>
              </w:rPr>
              <w:t>Endothelium-dependent Flow-Mediated Dilation</w:t>
            </w:r>
          </w:p>
          <w:p>
            <w:pPr>
              <w:pStyle w:val="Normal"/>
              <w:numPr>
                <w:ilvl w:val="0"/>
                <w:numId w:val="1"/>
              </w:numPr>
              <w:autoSpaceDE w:val="false"/>
              <w:rPr>
                <w:rFonts w:ascii="Arial" w:hAnsi="Arial" w:cs="Arial"/>
                <w:sz w:val="22"/>
                <w:szCs w:val="22"/>
              </w:rPr>
            </w:pPr>
            <w:r>
              <w:rPr>
                <w:rFonts w:cs="Arial" w:ascii="Arial" w:hAnsi="Arial"/>
                <w:sz w:val="22"/>
                <w:szCs w:val="22"/>
              </w:rPr>
              <w:t>A blood pressure cuff is placed above the antecubital fossa or on the forearm to create a flow stimulus.</w:t>
            </w:r>
          </w:p>
          <w:p>
            <w:pPr>
              <w:pStyle w:val="Normal"/>
              <w:numPr>
                <w:ilvl w:val="0"/>
                <w:numId w:val="1"/>
              </w:numPr>
              <w:autoSpaceDE w:val="false"/>
              <w:rPr>
                <w:rFonts w:ascii="Arial" w:hAnsi="Arial" w:cs="Arial"/>
                <w:sz w:val="22"/>
                <w:szCs w:val="22"/>
              </w:rPr>
            </w:pPr>
            <w:r>
              <w:rPr>
                <w:rFonts w:cs="Arial" w:ascii="Arial" w:hAnsi="Arial"/>
                <w:sz w:val="22"/>
                <w:szCs w:val="22"/>
              </w:rPr>
              <w:t>Acquire baseline rest image and estimate blood flow by time-averaging the pulsed Doppler velocity signal obtained from a mid-artery sample volume.</w:t>
            </w:r>
          </w:p>
          <w:p>
            <w:pPr>
              <w:pStyle w:val="Normal"/>
              <w:numPr>
                <w:ilvl w:val="0"/>
                <w:numId w:val="1"/>
              </w:numPr>
              <w:autoSpaceDE w:val="false"/>
              <w:rPr>
                <w:rFonts w:ascii="Arial" w:hAnsi="Arial" w:cs="Arial"/>
                <w:sz w:val="22"/>
                <w:szCs w:val="22"/>
              </w:rPr>
            </w:pPr>
            <w:r>
              <w:rPr>
                <w:rFonts w:cs="Arial" w:ascii="Arial" w:hAnsi="Arial"/>
                <w:sz w:val="22"/>
                <w:szCs w:val="22"/>
              </w:rPr>
              <w:t xml:space="preserve">The cuff is inflated to suprasystolic pressure (at least 50 mM Hg above systolic pressure) to occlude arterial inflow. The cuff is then deflated resulting in shear stress causing the brachial artery to dilate.  </w:t>
            </w:r>
          </w:p>
          <w:p>
            <w:pPr>
              <w:pStyle w:val="Normal"/>
              <w:numPr>
                <w:ilvl w:val="0"/>
                <w:numId w:val="1"/>
              </w:numPr>
              <w:autoSpaceDE w:val="false"/>
              <w:rPr>
                <w:rFonts w:ascii="Arial" w:hAnsi="Arial" w:cs="Arial"/>
                <w:sz w:val="22"/>
                <w:szCs w:val="22"/>
              </w:rPr>
            </w:pPr>
            <w:r>
              <w:rPr>
                <w:rFonts w:cs="Arial" w:ascii="Arial" w:hAnsi="Arial"/>
                <w:sz w:val="22"/>
                <w:szCs w:val="22"/>
              </w:rPr>
              <w:t>Record the longitudinal Doppler image continuously from 30 seconds before cuff inflation to 2 minutes after cuff deflation.</w:t>
            </w:r>
          </w:p>
          <w:p>
            <w:pPr>
              <w:pStyle w:val="Normal"/>
              <w:numPr>
                <w:ilvl w:val="0"/>
                <w:numId w:val="1"/>
              </w:numPr>
              <w:autoSpaceDE w:val="false"/>
              <w:rPr/>
            </w:pPr>
            <w:r>
              <w:rPr>
                <w:rFonts w:cs="Arial" w:ascii="Arial" w:hAnsi="Arial"/>
                <w:sz w:val="22"/>
                <w:szCs w:val="22"/>
              </w:rPr>
              <w:t>Hyperemic velocity is measured by mid-artery pulsed Doppler signal immediately upon cuff release (no longer than 15 seconds after deflation).</w:t>
            </w:r>
          </w:p>
          <w:p>
            <w:pPr>
              <w:pStyle w:val="Normal"/>
              <w:numPr>
                <w:ilvl w:val="0"/>
                <w:numId w:val="1"/>
              </w:numPr>
              <w:autoSpaceDE w:val="false"/>
              <w:rPr/>
            </w:pPr>
            <w:r>
              <w:rPr>
                <w:rFonts w:cs="Arial" w:ascii="Arial" w:hAnsi="Arial"/>
                <w:sz w:val="22"/>
                <w:szCs w:val="22"/>
              </w:rPr>
              <w:t xml:space="preserve">The brachial artery should be occluded by cuff inflation for 5 minutes. (Protocols may vary based on disease status, for instance, a 3-minute protocol has been used for patients with sickle cell anemia.) The change in brachial artery diameter after cuff release continues to increase as the duration of occlusion by cuff inflation time increases from 30 seconds to 5 minutes. The change in brachial artery diameter does not change much between 5 and 10 minutes of occlusion by cuff inflation.  </w:t>
            </w:r>
          </w:p>
          <w:p>
            <w:pPr>
              <w:pStyle w:val="Normal"/>
              <w:numPr>
                <w:ilvl w:val="0"/>
                <w:numId w:val="1"/>
              </w:numPr>
              <w:autoSpaceDE w:val="false"/>
              <w:rPr/>
            </w:pPr>
            <w:r>
              <w:rPr>
                <w:rFonts w:cs="Arial" w:ascii="Arial" w:hAnsi="Arial"/>
                <w:sz w:val="22"/>
                <w:szCs w:val="22"/>
              </w:rPr>
              <w:t>At least 10 minutes of rest is needed after hyperemia (i.e., FMD) before another image is obtained.</w:t>
            </w:r>
          </w:p>
          <w:p>
            <w:pPr>
              <w:pStyle w:val="Normal"/>
              <w:autoSpaceDE w:val="false"/>
              <w:ind w:left="720" w:hanging="0"/>
              <w:rPr>
                <w:rFonts w:ascii="Arial" w:hAnsi="Arial" w:cs="Arial"/>
                <w:sz w:val="22"/>
                <w:szCs w:val="22"/>
              </w:rPr>
            </w:pPr>
            <w:r>
              <w:rPr>
                <w:rFonts w:cs="Arial" w:ascii="Arial" w:hAnsi="Arial"/>
                <w:sz w:val="22"/>
                <w:szCs w:val="22"/>
              </w:rPr>
            </w:r>
          </w:p>
          <w:p>
            <w:pPr>
              <w:pStyle w:val="Normal"/>
              <w:autoSpaceDE w:val="false"/>
              <w:rPr/>
            </w:pPr>
            <w:r>
              <w:rPr>
                <w:rFonts w:cs="Arial" w:ascii="Arial" w:hAnsi="Arial"/>
                <w:b/>
                <w:bCs/>
                <w:sz w:val="22"/>
                <w:szCs w:val="22"/>
              </w:rPr>
              <w:t>Endothelium-independent Vasodilation with Nitroglycerin</w:t>
            </w:r>
          </w:p>
          <w:p>
            <w:pPr>
              <w:pStyle w:val="Normal"/>
              <w:numPr>
                <w:ilvl w:val="0"/>
                <w:numId w:val="2"/>
              </w:numPr>
              <w:autoSpaceDE w:val="false"/>
              <w:rPr/>
            </w:pPr>
            <w:r>
              <w:rPr>
                <w:rFonts w:cs="Arial" w:ascii="Arial" w:hAnsi="Arial"/>
                <w:sz w:val="22"/>
                <w:szCs w:val="22"/>
              </w:rPr>
              <w:t>Administer exogenous nitric oxide (NO) donor (e.g., nitroglycerin spray or sublingual tablet).</w:t>
            </w:r>
          </w:p>
          <w:p>
            <w:pPr>
              <w:pStyle w:val="Normal"/>
              <w:numPr>
                <w:ilvl w:val="0"/>
                <w:numId w:val="2"/>
              </w:numPr>
              <w:autoSpaceDE w:val="false"/>
              <w:rPr>
                <w:rFonts w:ascii="Arial" w:hAnsi="Arial" w:cs="Arial"/>
                <w:sz w:val="22"/>
                <w:szCs w:val="22"/>
              </w:rPr>
            </w:pPr>
            <w:r>
              <w:rPr>
                <w:rFonts w:cs="Arial" w:ascii="Arial" w:hAnsi="Arial"/>
                <w:sz w:val="22"/>
                <w:szCs w:val="22"/>
              </w:rPr>
              <w:t>Images should be recorded 3 to 4 minutes after nitroglycerin (peak vasodilation).</w:t>
            </w:r>
          </w:p>
          <w:p>
            <w:pPr>
              <w:pStyle w:val="Normal"/>
              <w:autoSpaceDE w:val="false"/>
              <w:rPr>
                <w:rFonts w:ascii="Arial" w:hAnsi="Arial" w:cs="Arial"/>
                <w:b/>
                <w:b/>
                <w:bCs/>
                <w:sz w:val="16"/>
                <w:szCs w:val="16"/>
              </w:rPr>
            </w:pPr>
            <w:r>
              <w:rPr>
                <w:rFonts w:cs="Arial" w:ascii="Arial" w:hAnsi="Arial"/>
                <w:b/>
                <w:bCs/>
                <w:sz w:val="16"/>
                <w:szCs w:val="16"/>
              </w:rPr>
            </w:r>
          </w:p>
          <w:p>
            <w:pPr>
              <w:pStyle w:val="Normal"/>
              <w:autoSpaceDE w:val="false"/>
              <w:rPr>
                <w:rFonts w:ascii="Arial" w:hAnsi="Arial" w:cs="Arial"/>
                <w:sz w:val="22"/>
                <w:szCs w:val="22"/>
              </w:rPr>
            </w:pPr>
            <w:r>
              <w:rPr>
                <w:rFonts w:cs="Arial" w:ascii="Arial" w:hAnsi="Arial"/>
                <w:sz w:val="22"/>
                <w:szCs w:val="22"/>
              </w:rPr>
              <w:t xml:space="preserve">The complete guidelines for FMD of the brachial artery, including caveats for implementation, details for analysis, training of personnel, and quality improvement are described in the Corretti et al 2002 publication (see Source).  </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t>The Sickle Cell Disease Curative Therapies Working Group recommends that for sickle cell patients, investigators record the date of the patient’s most recent vaso-occlusive crisis and transfusion at the time of brachial artery relaxivity assessment.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Style w:val="DefaultChar"/>
                <w:sz w:val="22"/>
                <w:szCs w:val="22"/>
              </w:rPr>
              <w:t>All ages</w:t>
            </w:r>
          </w:p>
        </w:tc>
      </w:tr>
      <w:tr>
        <w:trPr>
          <w:trHeight w:val="370" w:hRule="atLeast"/>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sz w:val="22"/>
                <w:szCs w:val="22"/>
              </w:rPr>
              <w:t xml:space="preserve">Corretti, M. C., Anderson, T. J., Benjamin, E. J., Celermajer, D., Charbonneau, F., Creager, M. A., Deanfield, J., Drexler, H., Gerhard-Herman, M., Herrington, D., Vallance, P., Vita, J., &amp; Vogel, R. (2002). Guidelines for the ultrasound assessment of endothelial-dependent flow-mediated vasodilation of the brachial artery: A report of the International Brachial Artery Reactivity Task Force. </w:t>
            </w:r>
            <w:r>
              <w:rPr>
                <w:rStyle w:val="Emphasis"/>
                <w:rFonts w:cs="Arial" w:ascii="Arial" w:hAnsi="Arial"/>
                <w:sz w:val="22"/>
                <w:szCs w:val="22"/>
              </w:rPr>
              <w:t>Journal of the American College of Cardiology,</w:t>
            </w:r>
            <w:r>
              <w:rPr>
                <w:rFonts w:cs="Arial" w:ascii="Arial" w:hAnsi="Arial"/>
                <w:i/>
                <w:sz w:val="22"/>
                <w:szCs w:val="22"/>
              </w:rPr>
              <w:t xml:space="preserve"> 39</w:t>
            </w:r>
            <w:r>
              <w:rPr>
                <w:rFonts w:cs="Arial" w:ascii="Arial" w:hAnsi="Arial"/>
                <w:sz w:val="22"/>
                <w:szCs w:val="22"/>
              </w:rPr>
              <w:t>(2), 257-265. doi:10.1016/S0735-1097(01)01746-6</w:t>
            </w:r>
          </w:p>
          <w:p>
            <w:pPr>
              <w:pStyle w:val="Normal"/>
              <w:tabs>
                <w:tab w:val="clear" w:pos="720"/>
                <w:tab w:val="left" w:pos="6826" w:leader="none"/>
              </w:tabs>
              <w:spacing w:lineRule="atLeast" w:line="293"/>
              <w:textAlignment w:val="baseline"/>
              <w:rPr>
                <w:rFonts w:ascii="Arial" w:hAnsi="Arial" w:cs="Arial"/>
                <w:sz w:val="22"/>
                <w:szCs w:val="22"/>
              </w:rPr>
            </w:pPr>
            <w:r>
              <w:rPr>
                <w:rFonts w:cs="Arial" w:ascii="Arial" w:hAnsi="Arial"/>
                <w:sz w:val="22"/>
                <w:szCs w:val="22"/>
              </w:rPr>
            </w:r>
          </w:p>
          <w:p>
            <w:pPr>
              <w:pStyle w:val="Normal"/>
              <w:widowControl w:val="false"/>
              <w:autoSpaceDE w:val="false"/>
              <w:rPr>
                <w:rFonts w:ascii="Arial" w:hAnsi="Arial" w:cs="Arial"/>
                <w:sz w:val="22"/>
                <w:szCs w:val="28"/>
              </w:rPr>
            </w:pPr>
            <w:r>
              <w:rPr>
                <w:rFonts w:cs="Arial" w:ascii="Arial" w:hAnsi="Arial"/>
                <w:sz w:val="22"/>
                <w:szCs w:val="28"/>
              </w:rPr>
              <w:t xml:space="preserve">Belhassen, L., Pelle, G., Sediame, S., Bachir, D., Carville, C., Bucherer, C., Lacombe, C., Galacteros, F., &amp; Adnot, S. (2001). </w:t>
            </w:r>
            <w:hyperlink r:id="rId2">
              <w:r>
                <w:rPr>
                  <w:rStyle w:val="InternetLink"/>
                  <w:rFonts w:cs="Arial" w:ascii="Arial" w:hAnsi="Arial"/>
                  <w:sz w:val="22"/>
                  <w:szCs w:val="28"/>
                </w:rPr>
                <w:t xml:space="preserve">Endothelial dysfunction in patients with </w:t>
              </w:r>
              <w:r>
                <w:rPr>
                  <w:rStyle w:val="InternetLink"/>
                  <w:rFonts w:cs="Arial" w:ascii="Arial" w:hAnsi="Arial"/>
                  <w:bCs/>
                  <w:sz w:val="22"/>
                  <w:szCs w:val="28"/>
                </w:rPr>
                <w:t>sickle</w:t>
              </w:r>
              <w:r>
                <w:rPr>
                  <w:rStyle w:val="InternetLink"/>
                  <w:rFonts w:cs="Arial" w:ascii="Arial" w:hAnsi="Arial"/>
                  <w:sz w:val="22"/>
                  <w:szCs w:val="28"/>
                </w:rPr>
                <w:t xml:space="preserve"> </w:t>
              </w:r>
              <w:r>
                <w:rPr>
                  <w:rStyle w:val="InternetLink"/>
                  <w:rFonts w:cs="Arial" w:ascii="Arial" w:hAnsi="Arial"/>
                  <w:bCs/>
                  <w:sz w:val="22"/>
                  <w:szCs w:val="28"/>
                </w:rPr>
                <w:t>cell</w:t>
              </w:r>
              <w:r>
                <w:rPr>
                  <w:rStyle w:val="InternetLink"/>
                  <w:rFonts w:cs="Arial" w:ascii="Arial" w:hAnsi="Arial"/>
                  <w:sz w:val="22"/>
                  <w:szCs w:val="28"/>
                </w:rPr>
                <w:t xml:space="preserve"> disease is related to selective impairment of shear stress-</w:t>
              </w:r>
              <w:r>
                <w:rPr>
                  <w:rStyle w:val="InternetLink"/>
                  <w:rFonts w:cs="Arial" w:ascii="Arial" w:hAnsi="Arial"/>
                  <w:bCs/>
                  <w:sz w:val="22"/>
                  <w:szCs w:val="28"/>
                </w:rPr>
                <w:t>mediated</w:t>
              </w:r>
              <w:r>
                <w:rPr>
                  <w:rStyle w:val="InternetLink"/>
                  <w:rFonts w:cs="Arial" w:ascii="Arial" w:hAnsi="Arial"/>
                  <w:sz w:val="22"/>
                  <w:szCs w:val="28"/>
                </w:rPr>
                <w:t xml:space="preserve"> vasodilation.</w:t>
              </w:r>
            </w:hyperlink>
            <w:r>
              <w:rPr>
                <w:rFonts w:cs="Arial" w:ascii="Arial" w:hAnsi="Arial"/>
                <w:sz w:val="22"/>
              </w:rPr>
              <w:t xml:space="preserve"> </w:t>
            </w:r>
            <w:r>
              <w:rPr>
                <w:rFonts w:cs="Arial" w:ascii="Arial" w:hAnsi="Arial"/>
                <w:i/>
                <w:sz w:val="22"/>
              </w:rPr>
              <w:t>Blood</w:t>
            </w:r>
            <w:r>
              <w:rPr>
                <w:rFonts w:cs="Arial" w:ascii="Arial" w:hAnsi="Arial"/>
                <w:sz w:val="22"/>
              </w:rPr>
              <w:t xml:space="preserve">, </w:t>
            </w:r>
            <w:r>
              <w:rPr>
                <w:rFonts w:cs="Arial" w:ascii="Arial" w:hAnsi="Arial"/>
                <w:i/>
                <w:sz w:val="22"/>
              </w:rPr>
              <w:t>97</w:t>
            </w:r>
            <w:r>
              <w:rPr>
                <w:rFonts w:cs="Arial" w:ascii="Arial" w:hAnsi="Arial"/>
                <w:sz w:val="22"/>
              </w:rPr>
              <w:t>(6), 1584-1589.</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 xml:space="preserve">A sonographer who is proficient in the </w:t>
            </w:r>
            <w:r>
              <w:rPr>
                <w:rFonts w:cs="Arial" w:ascii="Arial" w:hAnsi="Arial"/>
                <w:sz w:val="22"/>
                <w:szCs w:val="22"/>
              </w:rPr>
              <w:t>principles and technical aspects of two-dimensional (2D) and Doppler</w:t>
            </w:r>
            <w:r>
              <w:rPr>
                <w:rFonts w:cs="Arial" w:ascii="Arial" w:hAnsi="Arial"/>
                <w:color w:val="000000"/>
                <w:sz w:val="22"/>
                <w:szCs w:val="22"/>
              </w:rPr>
              <w:t xml:space="preserve"> </w:t>
            </w:r>
            <w:r>
              <w:rPr>
                <w:rFonts w:cs="Arial" w:ascii="Arial" w:hAnsi="Arial"/>
                <w:sz w:val="22"/>
                <w:szCs w:val="22"/>
              </w:rPr>
              <w:t>ultrasonography.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numPr>
                <w:ilvl w:val="0"/>
                <w:numId w:val="3"/>
              </w:numPr>
              <w:tabs>
                <w:tab w:val="clear" w:pos="720"/>
                <w:tab w:val="left" w:pos="-43" w:leader="none"/>
                <w:tab w:val="left" w:pos="227" w:leader="none"/>
              </w:tabs>
              <w:spacing w:before="0" w:after="0"/>
              <w:ind w:left="-43" w:hanging="0"/>
              <w:contextualSpacing/>
              <w:rPr/>
            </w:pPr>
            <w:r>
              <w:rPr>
                <w:rStyle w:val="DefaultChar"/>
                <w:sz w:val="22"/>
                <w:szCs w:val="22"/>
              </w:rPr>
              <w:t>An ultrasound system that includes vascular software for two-dimensional (2D) imaging, as well as color and spectral Doppler, 2) a linear array high-frequency vascular transducer with a minimum frequency of 7 megahertz (MHz), and 3) an internal electrocardiogram (ECG) monitor.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sz w:val="22"/>
                <w:szCs w:val="22"/>
              </w:rPr>
              <w:t>Non-invasive imaging assessment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Arial" w:hAnsi="Arial" w:cs="Arial"/>
                <w:sz w:val="22"/>
                <w:szCs w:val="22"/>
              </w:rPr>
            </w:pPr>
            <w:r>
              <w:rPr>
                <w:rFonts w:cs="Arial" w:ascii="Arial" w:hAnsi="Arial"/>
                <w:sz w:val="22"/>
                <w:szCs w:val="22"/>
              </w:rPr>
              <w:t>Dibble, C. T., Shimbo, D., Barr, R. G., Bagiella, E., Chahal, H., Ventetuolo, C. E., Herrington, D. M., Lima, J. A., Bluemke, D. A., &amp; Kawut, S. M. (2012).</w:t>
            </w:r>
            <w:r>
              <w:rPr/>
              <w:t xml:space="preserve"> </w:t>
            </w:r>
            <w:r>
              <w:rPr>
                <w:rFonts w:cs="Arial" w:ascii="Arial" w:hAnsi="Arial"/>
                <w:sz w:val="22"/>
                <w:szCs w:val="22"/>
              </w:rPr>
              <w:t xml:space="preserve">Brachial artery diameter and the right ventricle: The Multi-Ethnic Study of Atherosclerosis-right ventricle study. </w:t>
            </w:r>
            <w:r>
              <w:rPr>
                <w:rFonts w:cs="Arial" w:ascii="Arial" w:hAnsi="Arial"/>
                <w:i/>
                <w:sz w:val="22"/>
                <w:szCs w:val="22"/>
              </w:rPr>
              <w:t>Chest</w:t>
            </w:r>
            <w:r>
              <w:rPr>
                <w:rFonts w:cs="Arial" w:ascii="Arial" w:hAnsi="Arial"/>
                <w:sz w:val="22"/>
                <w:szCs w:val="22"/>
              </w:rPr>
              <w:t xml:space="preserve">, </w:t>
            </w:r>
            <w:r>
              <w:rPr>
                <w:rFonts w:cs="Arial" w:ascii="Arial" w:hAnsi="Arial"/>
                <w:i/>
                <w:sz w:val="22"/>
                <w:szCs w:val="22"/>
              </w:rPr>
              <w:t>142</w:t>
            </w:r>
            <w:r>
              <w:rPr>
                <w:rFonts w:cs="Arial" w:ascii="Arial" w:hAnsi="Arial"/>
                <w:sz w:val="22"/>
                <w:szCs w:val="22"/>
              </w:rPr>
              <w:t>(6), 1399-1405.</w:t>
            </w:r>
          </w:p>
          <w:p>
            <w:pPr>
              <w:pStyle w:val="Normal"/>
              <w:spacing w:before="0" w:after="0"/>
              <w:rPr>
                <w:rFonts w:ascii="Arial" w:hAnsi="Arial" w:cs="Arial"/>
                <w:sz w:val="22"/>
                <w:szCs w:val="22"/>
              </w:rPr>
            </w:pPr>
            <w:r>
              <w:rPr>
                <w:rFonts w:cs="Arial" w:ascii="Arial" w:hAnsi="Arial"/>
                <w:sz w:val="22"/>
                <w:szCs w:val="22"/>
              </w:rPr>
              <w:t>Korcarz, C. E., Stein, J. H., Peppard, P. E., Young, T. B., Barnet, J. H., &amp; Nieto, F. J. (2014). Combined effects of sleep disordered breathing and metabolic syndrome on endothelial function: The Wisconsin Sleep Cohort study.</w:t>
            </w:r>
            <w:r>
              <w:rPr/>
              <w:t xml:space="preserve"> </w:t>
            </w:r>
            <w:r>
              <w:rPr>
                <w:rFonts w:cs="Arial" w:ascii="Arial" w:hAnsi="Arial"/>
                <w:i/>
                <w:sz w:val="22"/>
                <w:szCs w:val="22"/>
              </w:rPr>
              <w:t>Sleep, 37</w:t>
            </w:r>
            <w:r>
              <w:rPr>
                <w:rFonts w:cs="Arial" w:ascii="Arial" w:hAnsi="Arial"/>
                <w:sz w:val="22"/>
                <w:szCs w:val="22"/>
              </w:rPr>
              <w:t>(10), 1707-1713.</w:t>
            </w:r>
          </w:p>
        </w:tc>
      </w:tr>
    </w:tbl>
    <w:p>
      <w:pPr>
        <w:pStyle w:val="Normal"/>
        <w:spacing w:before="0" w:after="0"/>
        <w:contextualSpacing/>
        <w:rPr/>
      </w:pPr>
      <w:r>
        <w:rPr/>
      </w:r>
    </w:p>
    <w:sectPr>
      <w:headerReference w:type="default" r:id="rId3"/>
      <w:footerReference w:type="default" r:id="rId4"/>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bCs/>
        <w:sz w:val="20"/>
        <w:szCs w:val="20"/>
      </w:rPr>
      <w:t>Flow-Mediated Dilation of the Brachial Artery (FMD)</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Sickle Cell Disease: Cardiovascular, Pulmonary, and Renal</w:t>
    </w:r>
  </w:p>
  <w:p>
    <w:pPr>
      <w:pStyle w:val="Normal"/>
      <w:rPr>
        <w:rFonts w:ascii="Arial" w:hAnsi="Arial" w:cs="Arial"/>
        <w:b/>
        <w:b/>
        <w:sz w:val="20"/>
        <w:szCs w:val="20"/>
      </w:rPr>
    </w:pPr>
    <w:r>
      <w:rPr>
        <w:rFonts w:cs="Arial" w:ascii="Arial" w:hAnsi="Arial"/>
        <w:b/>
        <w:sz w:val="20"/>
        <w:szCs w:val="20"/>
      </w:rPr>
      <w:t>Release Date: TBD</w:t>
    </w:r>
  </w:p>
  <w:p>
    <w:pPr>
      <w:pStyle w:val="Normal"/>
      <w:rPr/>
    </w:pPr>
    <w:r>
      <w:rPr>
        <w:rFonts w:cs="Arial" w:ascii="Arial" w:hAnsi="Arial"/>
        <w:b/>
        <w:bCs/>
        <w:sz w:val="20"/>
        <w:szCs w:val="20"/>
      </w:rPr>
      <w:t>Brachial Artery Relaxivity</w:t>
    </w:r>
    <w:r>
      <w:rPr>
        <w:rFonts w:cs="Arial" w:ascii="Arial" w:hAnsi="Arial"/>
        <w:b/>
        <w:sz w:val="20"/>
        <w:szCs w:val="20"/>
      </w:rPr>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abstractNum>
  <w:abstractNum w:abstractNumId="3">
    <w:lvl w:ilvl="0">
      <w:start w:val="1"/>
      <w:numFmt w:val="decimal"/>
      <w:lvlText w:val="%1)"/>
      <w:lvlJc w:val="left"/>
      <w:pPr>
        <w:tabs>
          <w:tab w:val="num" w:pos="0"/>
        </w:tabs>
        <w:ind w:left="72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Arial"/>
    </w:rPr>
  </w:style>
  <w:style w:type="character" w:styleId="WW8Num3z2">
    <w:name w:val="WW8Num3z2"/>
    <w:qFormat/>
    <w:rPr>
      <w:rFonts w:ascii="Wingdings" w:hAnsi="Wingdings" w:cs="Wingdings"/>
    </w:rPr>
  </w:style>
  <w:style w:type="character" w:styleId="WW8Num4z0">
    <w:name w:val="WW8Num4z0"/>
    <w:qFormat/>
    <w:rPr/>
  </w:style>
  <w:style w:type="character" w:styleId="WW8Num6z0">
    <w:name w:val="WW8Num6z0"/>
    <w:qFormat/>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rPr>
  </w:style>
  <w:style w:type="character" w:styleId="WW8Num8z1">
    <w:name w:val="WW8Num8z1"/>
    <w:qFormat/>
    <w:rPr>
      <w:rFonts w:ascii="Courier New" w:hAnsi="Courier New" w:cs="Arial"/>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Arial"/>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Arial"/>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Arial"/>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Arial"/>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Arial"/>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Arial"/>
    </w:rPr>
  </w:style>
  <w:style w:type="character" w:styleId="WW8Num16z2">
    <w:name w:val="WW8Num1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Icon">
    <w:name w:val="icon"/>
    <w:qFormat/>
    <w:rPr/>
  </w:style>
  <w:style w:type="character" w:styleId="Emphasis">
    <w:name w:val="Emphasis"/>
    <w:qFormat/>
    <w:rPr>
      <w:i/>
      <w:iCs/>
    </w:rPr>
  </w:style>
  <w:style w:type="character" w:styleId="Appleconvertedspace">
    <w:name w:val="apple-converted-space"/>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lang w:val="en-US"/>
    </w:rPr>
  </w:style>
  <w:style w:type="paragraph" w:styleId="Footer">
    <w:name w:val="Footer"/>
    <w:basedOn w:val="Normal"/>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ColorfulListAccent11">
    <w:name w:val="Colorful List - Accent 11"/>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ColorfulShadingAccent11">
    <w:name w:val="Colorful Shading - Accent 11"/>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cbi-nlm-nih-gov.libproxy.usc.edu/pubmed/11238095"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2021-03-12T18:27:00Z</dcterms:created>
  <dc:creator>whuggins</dc:creator>
  <dc:description/>
  <cp:keywords/>
  <dc:language>en-US</dc:language>
  <cp:lastModifiedBy>Hwang, Stephen</cp:lastModifiedBy>
  <cp:lastPrinted>2014-11-12T15:22:00Z</cp:lastPrinted>
  <dcterms:modified xsi:type="dcterms:W3CDTF">2021-08-12T07:09:00Z</dcterms:modified>
  <cp:revision>6</cp:revision>
  <dc:subject/>
  <dc:title/>
</cp:coreProperties>
</file>