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75" w:type="dxa"/>
        <w:jc w:val="left"/>
        <w:tblInd w:w="-45" w:type="dxa"/>
        <w:tblLayout w:type="fixed"/>
        <w:tblCellMar>
          <w:top w:w="15" w:type="dxa"/>
          <w:left w:w="15" w:type="dxa"/>
          <w:bottom w:w="15" w:type="dxa"/>
          <w:right w:w="15" w:type="dxa"/>
        </w:tblCellMar>
      </w:tblPr>
      <w:tblGrid>
        <w:gridCol w:w="2265"/>
        <w:gridCol w:w="7110"/>
      </w:tblGrid>
      <w:tr>
        <w:trPr/>
        <w:tc>
          <w:tcPr>
            <w:tcW w:w="9375" w:type="dxa"/>
            <w:gridSpan w:val="2"/>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jc w:val="center"/>
              <w:rPr>
                <w:rFonts w:ascii="Arial" w:hAnsi="Arial" w:cs="Arial"/>
                <w:b/>
                <w:b/>
                <w:sz w:val="22"/>
                <w:szCs w:val="22"/>
              </w:rPr>
            </w:pPr>
            <w:r>
              <w:rPr>
                <w:rFonts w:cs="Arial" w:ascii="Arial" w:hAnsi="Arial"/>
                <w:b/>
                <w:sz w:val="22"/>
                <w:szCs w:val="22"/>
              </w:rPr>
              <w:t>About the Measure</w:t>
            </w:r>
          </w:p>
        </w:tc>
      </w:tr>
      <w:tr>
        <w:trPr/>
        <w:tc>
          <w:tcPr>
            <w:tcW w:w="226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Domain:</w:t>
            </w:r>
          </w:p>
        </w:tc>
        <w:tc>
          <w:tcPr>
            <w:tcW w:w="711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Fonts w:cs="Arial" w:ascii="Arial" w:hAnsi="Arial"/>
                <w:sz w:val="22"/>
                <w:szCs w:val="22"/>
              </w:rPr>
              <w:t>Psychosocial</w:t>
            </w:r>
          </w:p>
        </w:tc>
      </w:tr>
      <w:tr>
        <w:trPr/>
        <w:tc>
          <w:tcPr>
            <w:tcW w:w="226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Measure:</w:t>
            </w:r>
          </w:p>
        </w:tc>
        <w:tc>
          <w:tcPr>
            <w:tcW w:w="711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Fonts w:cs="Arial" w:ascii="Arial" w:hAnsi="Arial"/>
                <w:sz w:val="22"/>
                <w:szCs w:val="22"/>
              </w:rPr>
              <w:t>Social Isolation</w:t>
            </w:r>
          </w:p>
        </w:tc>
      </w:tr>
      <w:tr>
        <w:trPr/>
        <w:tc>
          <w:tcPr>
            <w:tcW w:w="226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Definition:</w:t>
            </w:r>
          </w:p>
        </w:tc>
        <w:tc>
          <w:tcPr>
            <w:tcW w:w="711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Fonts w:cs="Arial" w:ascii="Arial" w:hAnsi="Arial"/>
                <w:sz w:val="22"/>
                <w:szCs w:val="22"/>
              </w:rPr>
              <w:t>This is a scale used to assess feelings of loneliness or social isolation.</w:t>
            </w:r>
          </w:p>
        </w:tc>
      </w:tr>
    </w:tbl>
    <w:p>
      <w:pPr>
        <w:pStyle w:val="NormalWeb"/>
        <w:spacing w:before="280" w:after="240"/>
        <w:rPr>
          <w:rFonts w:ascii="Arial" w:hAnsi="Arial" w:cs="Arial"/>
          <w:sz w:val="22"/>
          <w:szCs w:val="22"/>
        </w:rPr>
      </w:pPr>
      <w:r>
        <w:rPr>
          <w:rFonts w:cs="Arial" w:ascii="Arial" w:hAnsi="Arial"/>
          <w:sz w:val="22"/>
          <w:szCs w:val="22"/>
        </w:rPr>
      </w:r>
    </w:p>
    <w:tbl>
      <w:tblPr>
        <w:tblW w:w="9390" w:type="dxa"/>
        <w:jc w:val="left"/>
        <w:tblInd w:w="-45" w:type="dxa"/>
        <w:tblLayout w:type="fixed"/>
        <w:tblCellMar>
          <w:top w:w="15" w:type="dxa"/>
          <w:left w:w="15" w:type="dxa"/>
          <w:bottom w:w="15" w:type="dxa"/>
          <w:right w:w="15" w:type="dxa"/>
        </w:tblCellMar>
      </w:tblPr>
      <w:tblGrid>
        <w:gridCol w:w="2321"/>
        <w:gridCol w:w="7069"/>
      </w:tblGrid>
      <w:tr>
        <w:trPr/>
        <w:tc>
          <w:tcPr>
            <w:tcW w:w="9390" w:type="dxa"/>
            <w:gridSpan w:val="2"/>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280" w:after="0"/>
              <w:jc w:val="center"/>
              <w:rPr>
                <w:rFonts w:ascii="Arial" w:hAnsi="Arial" w:cs="Arial"/>
                <w:b/>
                <w:b/>
                <w:sz w:val="22"/>
                <w:szCs w:val="22"/>
              </w:rPr>
            </w:pPr>
            <w:r>
              <w:rPr>
                <w:rFonts w:cs="Arial" w:ascii="Arial" w:hAnsi="Arial"/>
                <w:b/>
                <w:sz w:val="22"/>
                <w:szCs w:val="22"/>
              </w:rPr>
              <w:t>About the Protocol</w:t>
            </w:r>
          </w:p>
        </w:tc>
      </w:tr>
      <w:tr>
        <w:trPr/>
        <w:tc>
          <w:tcPr>
            <w:tcW w:w="232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Protocol Name from Source:</w:t>
            </w:r>
          </w:p>
        </w:tc>
        <w:tc>
          <w:tcPr>
            <w:tcW w:w="706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280" w:after="0"/>
              <w:rPr>
                <w:rFonts w:ascii="Arial" w:hAnsi="Arial" w:cs="Arial"/>
                <w:sz w:val="22"/>
                <w:szCs w:val="22"/>
              </w:rPr>
            </w:pPr>
            <w:r>
              <w:rPr>
                <w:rFonts w:cs="Arial" w:ascii="Arial" w:hAnsi="Arial"/>
                <w:sz w:val="22"/>
                <w:szCs w:val="22"/>
              </w:rPr>
              <w:t>Three-Item Loneliness Scale</w:t>
            </w:r>
          </w:p>
        </w:tc>
      </w:tr>
      <w:tr>
        <w:trPr/>
        <w:tc>
          <w:tcPr>
            <w:tcW w:w="232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Description:</w:t>
            </w:r>
          </w:p>
        </w:tc>
        <w:tc>
          <w:tcPr>
            <w:tcW w:w="706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Fonts w:cs="Arial" w:ascii="Arial" w:hAnsi="Arial"/>
                <w:sz w:val="22"/>
                <w:szCs w:val="22"/>
              </w:rPr>
              <w:t>The Three-Item Loneliness Scale is an interviewer-administered questionnaire developed from the</w:t>
            </w:r>
            <w:r>
              <w:rPr/>
              <w:t xml:space="preserve"> </w:t>
            </w:r>
            <w:r>
              <w:rPr>
                <w:rFonts w:cs="Arial" w:ascii="Arial" w:hAnsi="Arial"/>
                <w:sz w:val="22"/>
                <w:szCs w:val="22"/>
              </w:rPr>
              <w:t xml:space="preserve">Revised UCLA Loneliness Scale. Each question is rated on a 3-point scale: 1 = Hardly Ever; 2 = Some of the Time; 3 = Often. All items are summed to give a total score. </w:t>
            </w:r>
          </w:p>
        </w:tc>
      </w:tr>
      <w:tr>
        <w:trPr/>
        <w:tc>
          <w:tcPr>
            <w:tcW w:w="232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Protocol:</w:t>
            </w:r>
          </w:p>
        </w:tc>
        <w:tc>
          <w:tcPr>
            <w:tcW w:w="706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0" w:after="0"/>
              <w:rPr>
                <w:rFonts w:ascii="Arial" w:hAnsi="Arial" w:cs="Arial"/>
                <w:sz w:val="22"/>
                <w:szCs w:val="22"/>
              </w:rPr>
            </w:pPr>
            <w:r>
              <w:rPr>
                <w:rFonts w:cs="Arial" w:ascii="Arial" w:hAnsi="Arial"/>
                <w:sz w:val="22"/>
                <w:szCs w:val="22"/>
              </w:rPr>
              <w:t>Three-Item Loneliness Scale</w:t>
            </w:r>
          </w:p>
          <w:p>
            <w:pPr>
              <w:pStyle w:val="NormalWeb"/>
              <w:spacing w:before="0" w:after="0"/>
              <w:rPr>
                <w:rFonts w:ascii="Arial" w:hAnsi="Arial" w:cs="Arial"/>
                <w:sz w:val="22"/>
                <w:szCs w:val="22"/>
              </w:rPr>
            </w:pPr>
            <w:r>
              <w:rPr>
                <w:rFonts w:cs="Arial" w:ascii="Arial" w:hAnsi="Arial"/>
                <w:sz w:val="22"/>
                <w:szCs w:val="22"/>
              </w:rPr>
            </w:r>
          </w:p>
          <w:p>
            <w:pPr>
              <w:pStyle w:val="NormalWeb"/>
              <w:spacing w:before="0" w:after="0"/>
              <w:rPr>
                <w:rFonts w:ascii="Arial" w:hAnsi="Arial" w:cs="Arial"/>
                <w:sz w:val="22"/>
                <w:szCs w:val="22"/>
              </w:rPr>
            </w:pPr>
            <w:r>
              <w:rPr>
                <w:rFonts w:cs="Arial" w:ascii="Arial" w:hAnsi="Arial"/>
                <w:sz w:val="22"/>
                <w:szCs w:val="22"/>
              </w:rPr>
              <w:t>Lead-in and questions are read to respondent.</w:t>
            </w:r>
          </w:p>
          <w:p>
            <w:pPr>
              <w:pStyle w:val="NormalWeb"/>
              <w:spacing w:before="0" w:after="0"/>
              <w:rPr>
                <w:rFonts w:ascii="Arial" w:hAnsi="Arial" w:cs="Arial"/>
                <w:sz w:val="22"/>
                <w:szCs w:val="22"/>
              </w:rPr>
            </w:pPr>
            <w:r>
              <w:rPr>
                <w:rFonts w:cs="Arial" w:ascii="Arial" w:hAnsi="Arial"/>
                <w:sz w:val="22"/>
                <w:szCs w:val="22"/>
              </w:rPr>
              <w:t>The next questions are about how you feel about different aspects of your life. For each one, tell me how often you feel that way.</w:t>
            </w:r>
          </w:p>
          <w:p>
            <w:pPr>
              <w:pStyle w:val="NormalWeb"/>
              <w:spacing w:before="0" w:after="0"/>
              <w:rPr>
                <w:rFonts w:ascii="Arial" w:hAnsi="Arial" w:cs="Arial"/>
                <w:sz w:val="22"/>
                <w:szCs w:val="22"/>
              </w:rPr>
            </w:pPr>
            <w:r>
              <w:rPr>
                <w:rFonts w:cs="Arial" w:ascii="Arial" w:hAnsi="Arial"/>
                <w:sz w:val="22"/>
                <w:szCs w:val="22"/>
              </w:rPr>
            </w:r>
          </w:p>
          <w:p>
            <w:pPr>
              <w:pStyle w:val="NormalWeb"/>
              <w:spacing w:before="0" w:after="0"/>
              <w:rPr>
                <w:rFonts w:ascii="Arial" w:hAnsi="Arial" w:cs="Arial"/>
                <w:sz w:val="22"/>
                <w:szCs w:val="22"/>
              </w:rPr>
            </w:pPr>
            <w:r>
              <w:rPr>
                <w:rFonts w:cs="Arial" w:ascii="Arial" w:hAnsi="Arial"/>
                <w:sz w:val="22"/>
                <w:szCs w:val="22"/>
              </w:rPr>
              <w:t>1. First, how often do you feel that you lack companionship: Hardly ever, some of the time, or often?</w:t>
            </w:r>
          </w:p>
          <w:p>
            <w:pPr>
              <w:pStyle w:val="NormalWeb"/>
              <w:spacing w:before="0" w:after="0"/>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1 [ ] Hardly Ever</w:t>
            </w:r>
          </w:p>
          <w:p>
            <w:pPr>
              <w:pStyle w:val="NormalWeb"/>
              <w:spacing w:before="0" w:after="0"/>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2 [ ] Some of the Time</w:t>
            </w:r>
          </w:p>
          <w:p>
            <w:pPr>
              <w:pStyle w:val="NormalWeb"/>
              <w:spacing w:before="0" w:after="0"/>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3 [ ] Often</w:t>
            </w:r>
          </w:p>
          <w:p>
            <w:pPr>
              <w:pStyle w:val="NormalWeb"/>
              <w:spacing w:before="0" w:after="0"/>
              <w:rPr>
                <w:rFonts w:ascii="Arial" w:hAnsi="Arial" w:cs="Arial"/>
                <w:sz w:val="22"/>
                <w:szCs w:val="22"/>
              </w:rPr>
            </w:pPr>
            <w:r>
              <w:rPr>
                <w:rFonts w:cs="Arial" w:ascii="Arial" w:hAnsi="Arial"/>
                <w:sz w:val="22"/>
                <w:szCs w:val="22"/>
              </w:rPr>
            </w:r>
          </w:p>
          <w:p>
            <w:pPr>
              <w:pStyle w:val="NormalWeb"/>
              <w:spacing w:before="0" w:after="0"/>
              <w:rPr>
                <w:rFonts w:ascii="Arial" w:hAnsi="Arial" w:cs="Arial"/>
                <w:sz w:val="22"/>
                <w:szCs w:val="22"/>
              </w:rPr>
            </w:pPr>
            <w:r>
              <w:rPr>
                <w:rFonts w:cs="Arial" w:ascii="Arial" w:hAnsi="Arial"/>
                <w:sz w:val="22"/>
                <w:szCs w:val="22"/>
              </w:rPr>
              <w:t>2. How often do you feel left out: Hardly ever, some of the time, or often?</w:t>
            </w:r>
          </w:p>
          <w:p>
            <w:pPr>
              <w:pStyle w:val="NormalWeb"/>
              <w:spacing w:before="0" w:after="0"/>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1 [ ] Hardly Ever</w:t>
            </w:r>
          </w:p>
          <w:p>
            <w:pPr>
              <w:pStyle w:val="NormalWeb"/>
              <w:spacing w:before="0" w:after="0"/>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2 [ ] Some of the Time</w:t>
            </w:r>
          </w:p>
          <w:p>
            <w:pPr>
              <w:pStyle w:val="NormalWeb"/>
              <w:spacing w:before="0" w:after="0"/>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3 [ ] Often</w:t>
            </w:r>
          </w:p>
          <w:p>
            <w:pPr>
              <w:pStyle w:val="NormalWeb"/>
              <w:spacing w:before="0" w:after="0"/>
              <w:rPr>
                <w:rFonts w:ascii="Arial" w:hAnsi="Arial" w:cs="Arial"/>
                <w:sz w:val="22"/>
                <w:szCs w:val="22"/>
              </w:rPr>
            </w:pPr>
            <w:r>
              <w:rPr>
                <w:rFonts w:cs="Arial" w:ascii="Arial" w:hAnsi="Arial"/>
                <w:sz w:val="22"/>
                <w:szCs w:val="22"/>
              </w:rPr>
            </w:r>
          </w:p>
          <w:p>
            <w:pPr>
              <w:pStyle w:val="NormalWeb"/>
              <w:spacing w:before="0" w:after="0"/>
              <w:rPr>
                <w:rFonts w:ascii="Arial" w:hAnsi="Arial" w:cs="Arial"/>
                <w:sz w:val="22"/>
                <w:szCs w:val="22"/>
              </w:rPr>
            </w:pPr>
            <w:r>
              <w:rPr>
                <w:rFonts w:cs="Arial" w:ascii="Arial" w:hAnsi="Arial"/>
                <w:sz w:val="22"/>
                <w:szCs w:val="22"/>
              </w:rPr>
              <w:t>3. How often do you feel isolated from others? (Is it hardly ever, some of the time, or often?)</w:t>
            </w:r>
          </w:p>
          <w:p>
            <w:pPr>
              <w:pStyle w:val="NormalWeb"/>
              <w:spacing w:before="0" w:after="0"/>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1 [ ] Hardly Ever</w:t>
            </w:r>
          </w:p>
          <w:p>
            <w:pPr>
              <w:pStyle w:val="NormalWeb"/>
              <w:spacing w:before="0" w:after="0"/>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2 [ ] Some of the Time</w:t>
            </w:r>
          </w:p>
          <w:p>
            <w:pPr>
              <w:pStyle w:val="NormalWeb"/>
              <w:spacing w:before="0" w:after="0"/>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3 [ ] Often</w:t>
            </w:r>
          </w:p>
          <w:p>
            <w:pPr>
              <w:pStyle w:val="NormalWeb"/>
              <w:spacing w:before="0" w:after="0"/>
              <w:rPr>
                <w:rFonts w:ascii="Arial" w:hAnsi="Arial" w:cs="Arial"/>
                <w:sz w:val="22"/>
                <w:szCs w:val="22"/>
              </w:rPr>
            </w:pPr>
            <w:r>
              <w:rPr>
                <w:rFonts w:cs="Arial" w:ascii="Arial" w:hAnsi="Arial"/>
                <w:sz w:val="22"/>
                <w:szCs w:val="22"/>
              </w:rPr>
            </w:r>
          </w:p>
          <w:p>
            <w:pPr>
              <w:pStyle w:val="NormalWeb"/>
              <w:spacing w:before="0" w:after="0"/>
              <w:rPr>
                <w:rFonts w:ascii="Arial" w:hAnsi="Arial" w:cs="Arial"/>
                <w:sz w:val="22"/>
                <w:szCs w:val="22"/>
              </w:rPr>
            </w:pPr>
            <w:r>
              <w:rPr>
                <w:rStyle w:val="StrongEmphasis"/>
                <w:rFonts w:cs="Arial" w:ascii="Arial" w:hAnsi="Arial"/>
                <w:sz w:val="22"/>
                <w:szCs w:val="22"/>
              </w:rPr>
              <w:t>Scoring:</w:t>
            </w:r>
          </w:p>
          <w:p>
            <w:pPr>
              <w:pStyle w:val="NormalWeb"/>
              <w:spacing w:before="280" w:after="0"/>
              <w:rPr>
                <w:rFonts w:ascii="Arial" w:hAnsi="Arial" w:cs="Arial"/>
                <w:sz w:val="22"/>
                <w:szCs w:val="22"/>
              </w:rPr>
            </w:pPr>
            <w:r>
              <w:rPr>
                <w:rFonts w:cs="Arial" w:ascii="Arial" w:hAnsi="Arial"/>
                <w:sz w:val="22"/>
                <w:szCs w:val="22"/>
              </w:rPr>
              <w:t>Sum the total of all items. Higher scores indicate greater degrees of loneliness.</w:t>
            </w:r>
          </w:p>
        </w:tc>
      </w:tr>
      <w:tr>
        <w:trPr/>
        <w:tc>
          <w:tcPr>
            <w:tcW w:w="232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Selection for Inclusion in Supplemental Information:</w:t>
            </w:r>
          </w:p>
        </w:tc>
        <w:tc>
          <w:tcPr>
            <w:tcW w:w="706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280" w:after="0"/>
              <w:rPr>
                <w:rFonts w:ascii="Arial" w:hAnsi="Arial" w:cs="Arial"/>
                <w:sz w:val="22"/>
                <w:szCs w:val="22"/>
              </w:rPr>
            </w:pPr>
            <w:r>
              <w:rPr>
                <w:rFonts w:cs="Arial" w:ascii="Arial" w:hAnsi="Arial"/>
                <w:sz w:val="22"/>
                <w:szCs w:val="22"/>
              </w:rPr>
              <w:t>The Three-Item Loneliness Scales provides a quick and succinct method to collect information about social Isolation. However, the psychometric properties of these items have not been sufficiently studied. Therefore this protocol is more appropriate for inclusion as Supplemental Information instead of in the Toolkit.</w:t>
            </w:r>
          </w:p>
        </w:tc>
      </w:tr>
      <w:tr>
        <w:trPr/>
        <w:tc>
          <w:tcPr>
            <w:tcW w:w="232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Source:</w:t>
            </w:r>
          </w:p>
        </w:tc>
        <w:tc>
          <w:tcPr>
            <w:tcW w:w="706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0" w:after="280"/>
              <w:rPr>
                <w:rFonts w:ascii="Arial" w:hAnsi="Arial" w:cs="Arial"/>
                <w:sz w:val="22"/>
                <w:szCs w:val="22"/>
              </w:rPr>
            </w:pPr>
            <w:r>
              <w:rPr>
                <w:rFonts w:cs="Arial" w:ascii="Arial" w:hAnsi="Arial"/>
                <w:sz w:val="22"/>
                <w:szCs w:val="22"/>
              </w:rPr>
              <w:t xml:space="preserve">Hughes, M. E., Waite, L. J., Hawkley, L. C., &amp; Cacioppo, J. T. (2004). A short scale for measuring loneliness in large surveys: Results from two population-based studies. </w:t>
            </w:r>
            <w:r>
              <w:rPr>
                <w:rFonts w:cs="Arial" w:ascii="Arial" w:hAnsi="Arial"/>
                <w:i/>
                <w:sz w:val="22"/>
                <w:szCs w:val="22"/>
              </w:rPr>
              <w:t>Research on Aging, 26</w:t>
            </w:r>
            <w:r>
              <w:rPr>
                <w:rFonts w:cs="Arial" w:ascii="Arial" w:hAnsi="Arial"/>
                <w:sz w:val="22"/>
                <w:szCs w:val="22"/>
              </w:rPr>
              <w:t>(6), 655–672.</w:t>
            </w:r>
          </w:p>
          <w:p>
            <w:pPr>
              <w:pStyle w:val="Normal"/>
              <w:rPr>
                <w:rFonts w:ascii="Arial" w:hAnsi="Arial" w:cs="Arial"/>
                <w:sz w:val="22"/>
                <w:szCs w:val="22"/>
              </w:rPr>
            </w:pPr>
            <w:r>
              <w:rPr>
                <w:rFonts w:cs="Arial" w:ascii="Arial" w:hAnsi="Arial"/>
                <w:sz w:val="22"/>
                <w:szCs w:val="22"/>
              </w:rPr>
            </w:r>
          </w:p>
          <w:p>
            <w:pPr>
              <w:pStyle w:val="Normal"/>
              <w:rPr/>
            </w:pPr>
            <w:r>
              <w:rPr/>
            </w:r>
          </w:p>
          <w:p>
            <w:pPr>
              <w:pStyle w:val="Normal"/>
              <w:rPr/>
            </w:pPr>
            <w:r>
              <w:rPr/>
            </w:r>
          </w:p>
        </w:tc>
      </w:tr>
      <w:tr>
        <w:trPr/>
        <w:tc>
          <w:tcPr>
            <w:tcW w:w="232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Language:</w:t>
            </w:r>
          </w:p>
        </w:tc>
        <w:tc>
          <w:tcPr>
            <w:tcW w:w="706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280" w:after="0"/>
              <w:rPr>
                <w:rFonts w:ascii="Arial" w:hAnsi="Arial" w:cs="Arial"/>
                <w:sz w:val="22"/>
                <w:szCs w:val="22"/>
              </w:rPr>
            </w:pPr>
            <w:r>
              <w:rPr>
                <w:rFonts w:cs="Arial" w:ascii="Arial" w:hAnsi="Arial"/>
                <w:sz w:val="22"/>
                <w:szCs w:val="22"/>
              </w:rPr>
              <w:t>English</w:t>
            </w:r>
          </w:p>
        </w:tc>
      </w:tr>
      <w:tr>
        <w:trPr/>
        <w:tc>
          <w:tcPr>
            <w:tcW w:w="232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Participant:</w:t>
            </w:r>
          </w:p>
        </w:tc>
        <w:tc>
          <w:tcPr>
            <w:tcW w:w="706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280" w:after="0"/>
              <w:rPr>
                <w:rFonts w:ascii="Arial" w:hAnsi="Arial" w:cs="Arial"/>
                <w:sz w:val="22"/>
                <w:szCs w:val="22"/>
              </w:rPr>
            </w:pPr>
            <w:r>
              <w:rPr>
                <w:rFonts w:cs="Arial" w:ascii="Arial" w:hAnsi="Arial"/>
                <w:sz w:val="22"/>
                <w:szCs w:val="22"/>
              </w:rPr>
              <w:t>Ages 18 years and older</w:t>
            </w:r>
          </w:p>
        </w:tc>
      </w:tr>
      <w:tr>
        <w:trPr/>
        <w:tc>
          <w:tcPr>
            <w:tcW w:w="232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Personnel and Training Required:</w:t>
            </w:r>
          </w:p>
        </w:tc>
        <w:tc>
          <w:tcPr>
            <w:tcW w:w="706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280" w:after="0"/>
              <w:rPr>
                <w:rFonts w:ascii="Arial" w:hAnsi="Arial" w:cs="Arial"/>
                <w:sz w:val="22"/>
                <w:szCs w:val="22"/>
              </w:rPr>
            </w:pPr>
            <w:r>
              <w:rPr>
                <w:rFonts w:cs="Arial" w:ascii="Arial" w:hAnsi="Arial"/>
                <w:sz w:val="22"/>
                <w:szCs w:val="22"/>
              </w:rPr>
              <w:t>The interviewer must be trained to conduct personal interviews with individuals from the general population and found competent to administer these particular questions (i.e., tested by an expert) at the completion of this training. The interviewer should be trained to prompt respondents further if a "don't know" response is provided.</w:t>
            </w:r>
          </w:p>
        </w:tc>
      </w:tr>
      <w:tr>
        <w:trPr/>
        <w:tc>
          <w:tcPr>
            <w:tcW w:w="232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Equipment Needs:</w:t>
            </w:r>
          </w:p>
        </w:tc>
        <w:tc>
          <w:tcPr>
            <w:tcW w:w="706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280" w:after="0"/>
              <w:rPr>
                <w:rFonts w:ascii="Arial" w:hAnsi="Arial" w:cs="Arial"/>
                <w:sz w:val="22"/>
                <w:szCs w:val="22"/>
              </w:rPr>
            </w:pPr>
            <w:r>
              <w:rPr>
                <w:rFonts w:cs="Arial" w:ascii="Arial" w:hAnsi="Arial"/>
                <w:sz w:val="22"/>
                <w:szCs w:val="22"/>
              </w:rPr>
              <w:t xml:space="preserve">These questions can be administered in a computerized or noncomputerized format (i.e., paper-and pencil instrument). Computer software is necessary to develop computer-assisted instruments. The interviewer will require a laptop computer/handheld computer to administer or to allow the respondent to self-administer a computer-assisted questionnaire.  </w:t>
            </w:r>
          </w:p>
        </w:tc>
      </w:tr>
      <w:tr>
        <w:trPr/>
        <w:tc>
          <w:tcPr>
            <w:tcW w:w="232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General References:</w:t>
            </w:r>
          </w:p>
        </w:tc>
        <w:tc>
          <w:tcPr>
            <w:tcW w:w="706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0" w:after="280"/>
              <w:rPr/>
            </w:pPr>
            <w:r>
              <w:rPr>
                <w:rFonts w:cs="Arial" w:ascii="Arial" w:hAnsi="Arial"/>
                <w:sz w:val="22"/>
                <w:szCs w:val="22"/>
              </w:rPr>
              <w:t xml:space="preserve">Chen, J. H., Waite, L. J., &amp; Lauderdale, D. S. (2016). Marriage, relationship quality, and sleep among U.S. older adults. </w:t>
            </w:r>
            <w:r>
              <w:rPr>
                <w:rFonts w:cs="Arial" w:ascii="Arial" w:hAnsi="Arial"/>
                <w:i/>
                <w:sz w:val="22"/>
                <w:szCs w:val="22"/>
              </w:rPr>
              <w:t>Journal of Health and Social Behavior, 56</w:t>
            </w:r>
            <w:r>
              <w:rPr>
                <w:rFonts w:cs="Arial" w:ascii="Arial" w:hAnsi="Arial"/>
                <w:sz w:val="22"/>
                <w:szCs w:val="22"/>
              </w:rPr>
              <w:t>(3), 356–377.</w:t>
            </w:r>
          </w:p>
          <w:p>
            <w:pPr>
              <w:pStyle w:val="NormalWeb"/>
              <w:rPr/>
            </w:pPr>
            <w:r>
              <w:rPr>
                <w:rFonts w:cs="Arial" w:ascii="Arial" w:hAnsi="Arial"/>
                <w:sz w:val="22"/>
                <w:szCs w:val="22"/>
              </w:rPr>
              <w:t>Mezuk, B., Choi, M., DeSantis, A. S., Rapp, S. R., Diez Roux, A. V., &amp; Seeman, T. (2016).</w:t>
            </w:r>
            <w:r>
              <w:rPr/>
              <w:t xml:space="preserve"> </w:t>
            </w:r>
            <w:r>
              <w:rPr>
                <w:rFonts w:cs="Arial" w:ascii="Arial" w:hAnsi="Arial"/>
                <w:sz w:val="22"/>
                <w:szCs w:val="22"/>
              </w:rPr>
              <w:t xml:space="preserve">Loneliness, depression, and inflammation: Evidence from the Multi-Ethnic Study of Atherosclerosis. </w:t>
            </w:r>
            <w:r>
              <w:rPr>
                <w:rFonts w:cs="Arial" w:ascii="Arial" w:hAnsi="Arial"/>
                <w:i/>
                <w:sz w:val="22"/>
                <w:szCs w:val="22"/>
              </w:rPr>
              <w:t>PLoS One, 11</w:t>
            </w:r>
            <w:r>
              <w:rPr>
                <w:rFonts w:cs="Arial" w:ascii="Arial" w:hAnsi="Arial"/>
                <w:sz w:val="22"/>
                <w:szCs w:val="22"/>
              </w:rPr>
              <w:t>(7), e0158056.</w:t>
            </w:r>
          </w:p>
          <w:p>
            <w:pPr>
              <w:pStyle w:val="NormalWeb"/>
              <w:spacing w:before="280" w:after="0"/>
              <w:rPr/>
            </w:pPr>
            <w:r>
              <w:rPr>
                <w:rFonts w:cs="Arial" w:ascii="Arial" w:hAnsi="Arial"/>
                <w:sz w:val="22"/>
                <w:szCs w:val="22"/>
              </w:rPr>
              <w:t xml:space="preserve">Russell, D. (1996). The UCLA Loneliness Scale (Version 3): Reliability, validity, and factor structure. </w:t>
            </w:r>
            <w:r>
              <w:rPr>
                <w:rFonts w:cs="Arial" w:ascii="Arial" w:hAnsi="Arial"/>
                <w:i/>
                <w:iCs/>
                <w:sz w:val="22"/>
                <w:szCs w:val="22"/>
              </w:rPr>
              <w:t>Journal of Personality Assessment, 66,</w:t>
            </w:r>
            <w:r>
              <w:rPr>
                <w:rFonts w:cs="Arial" w:ascii="Arial" w:hAnsi="Arial"/>
                <w:sz w:val="22"/>
                <w:szCs w:val="22"/>
              </w:rPr>
              <w:t xml:space="preserve"> 20–40.</w:t>
            </w:r>
          </w:p>
        </w:tc>
      </w:tr>
      <w:tr>
        <w:trPr/>
        <w:tc>
          <w:tcPr>
            <w:tcW w:w="232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Mode of Administration:</w:t>
            </w:r>
          </w:p>
        </w:tc>
        <w:tc>
          <w:tcPr>
            <w:tcW w:w="706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Fonts w:cs="Arial" w:ascii="Arial" w:hAnsi="Arial"/>
                <w:sz w:val="22"/>
                <w:szCs w:val="22"/>
              </w:rPr>
              <w:t>Interviewer-administered questionnaire</w:t>
            </w:r>
          </w:p>
        </w:tc>
      </w:tr>
      <w:tr>
        <w:trPr/>
        <w:tc>
          <w:tcPr>
            <w:tcW w:w="232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Process and Review:</w:t>
            </w:r>
          </w:p>
        </w:tc>
        <w:tc>
          <w:tcPr>
            <w:tcW w:w="706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0" w:after="280"/>
              <w:rPr>
                <w:rFonts w:ascii="Arial" w:hAnsi="Arial" w:cs="Arial"/>
                <w:sz w:val="22"/>
                <w:szCs w:val="22"/>
              </w:rPr>
            </w:pPr>
            <w:r>
              <w:rPr>
                <w:rFonts w:cs="Arial" w:ascii="Arial" w:hAnsi="Arial"/>
                <w:sz w:val="22"/>
                <w:szCs w:val="22"/>
              </w:rPr>
              <w:t xml:space="preserve">Expert Review Panel 4 (ERP 4) reviewed the measures in the Neurology, Psychiatric, and Psychosocial domains. </w:t>
            </w:r>
          </w:p>
          <w:p>
            <w:pPr>
              <w:pStyle w:val="NormalWeb"/>
              <w:rPr/>
            </w:pPr>
            <w:r>
              <w:rPr>
                <w:rFonts w:cs="Arial" w:ascii="Arial" w:hAnsi="Arial"/>
                <w:sz w:val="22"/>
                <w:szCs w:val="22"/>
              </w:rPr>
              <w:t>Guidance from ERP 4 included the following:</w:t>
            </w:r>
          </w:p>
          <w:p>
            <w:pPr>
              <w:pStyle w:val="NormalWeb"/>
              <w:numPr>
                <w:ilvl w:val="0"/>
                <w:numId w:val="1"/>
              </w:numPr>
              <w:spacing w:before="280" w:after="0"/>
              <w:rPr>
                <w:rFonts w:ascii="Arial" w:hAnsi="Arial" w:cs="Arial"/>
                <w:sz w:val="22"/>
                <w:szCs w:val="22"/>
              </w:rPr>
            </w:pPr>
            <w:r>
              <w:rPr>
                <w:rFonts w:cs="Arial" w:ascii="Arial" w:hAnsi="Arial"/>
                <w:sz w:val="22"/>
                <w:szCs w:val="22"/>
              </w:rPr>
              <w:t>Added new Supplemental Information</w:t>
            </w:r>
          </w:p>
        </w:tc>
      </w:tr>
    </w:tbl>
    <w:p>
      <w:pPr>
        <w:pStyle w:val="Normal"/>
        <w:rPr>
          <w:rFonts w:ascii="Arial" w:hAnsi="Arial" w:cs="Arial"/>
          <w:sz w:val="22"/>
          <w:szCs w:val="22"/>
        </w:rPr>
      </w:pPr>
      <w:r>
        <w:rPr>
          <w:rFonts w:cs="Arial" w:ascii="Arial" w:hAnsi="Arial"/>
          <w:sz w:val="22"/>
          <w:szCs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Segoe UI">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Header"/>
      <w:jc w:val="center"/>
      <w:rPr>
        <w:rFonts w:ascii="Arial" w:hAnsi="Arial" w:cs="Arial"/>
        <w:b/>
        <w:b/>
        <w:sz w:val="20"/>
        <w:szCs w:val="20"/>
        <w:u w:val="single"/>
      </w:rPr>
    </w:pPr>
    <w:r>
      <w:rPr>
        <w:rFonts w:cs="Arial" w:ascii="Arial" w:hAnsi="Arial"/>
        <w:b/>
        <w:sz w:val="20"/>
        <w:szCs w:val="20"/>
      </w:rPr>
      <w:t>[</w:t>
    </w:r>
    <w:r>
      <w:rPr>
        <w:rFonts w:cs="Arial" w:ascii="Arial" w:hAnsi="Arial"/>
        <w:b/>
        <w:sz w:val="20"/>
        <w:szCs w:val="20"/>
        <w:u w:val="single"/>
      </w:rPr>
      <w:t>Social Isolation</w:t>
    </w:r>
    <w:r>
      <w:rPr>
        <w:rFonts w:cs="Arial" w:ascii="Arial" w:hAnsi="Arial"/>
        <w:b/>
        <w:sz w:val="20"/>
        <w:szCs w:val="20"/>
      </w:rPr>
      <w:t>]</w:t>
    </w:r>
  </w:p>
  <w:p>
    <w:pPr>
      <w:pStyle w:val="Footer"/>
      <w:rPr>
        <w:rFonts w:ascii="Arial" w:hAnsi="Arial" w:cs="Arial"/>
        <w:b/>
        <w:b/>
        <w:sz w:val="20"/>
        <w:szCs w:val="20"/>
        <w:u w:val="single"/>
      </w:rPr>
    </w:pPr>
    <w:r>
      <w:rPr>
        <w:rFonts w:cs="Arial" w:ascii="Arial" w:hAnsi="Arial"/>
        <w:b/>
        <w:sz w:val="20"/>
        <w:szCs w:val="20"/>
        <w:u w:val="singl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
        <w:u w:val="single"/>
      </w:rPr>
    </w:pPr>
    <w:r>
      <w:rPr>
        <w:b/>
        <w:u w:val="single"/>
      </w:rPr>
      <w:t>Supplemental Information:</w:t>
    </w:r>
  </w:p>
  <w:p>
    <w:pPr>
      <w:pStyle w:val="Header"/>
      <w:rPr>
        <w:b/>
        <w:b/>
        <w:u w:val="single"/>
      </w:rPr>
    </w:pPr>
    <w:r>
      <w:rPr>
        <w:b/>
        <w:u w:val="single"/>
      </w:rPr>
      <w:t>Social Isolation</w:t>
    </w:r>
  </w:p>
  <w:p>
    <w:pPr>
      <w:pStyle w:val="Header"/>
      <w:rPr>
        <w:b/>
        <w:b/>
        <w:u w:val="single"/>
      </w:rPr>
    </w:pPr>
    <w:r>
      <w:rPr>
        <w:b/>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StrongEmphasis">
    <w:name w:val="Strong Emphasis"/>
    <w:qFormat/>
    <w:rPr>
      <w:b/>
      <w:bCs/>
    </w:rPr>
  </w:style>
  <w:style w:type="character" w:styleId="BalloonTextChar">
    <w:name w:val="Balloon Text Char"/>
    <w:qFormat/>
    <w:rPr>
      <w:rFonts w:ascii="Segoe UI" w:hAnsi="Segoe UI" w:cs="Segoe UI"/>
      <w:sz w:val="18"/>
      <w:szCs w:val="18"/>
    </w:rPr>
  </w:style>
  <w:style w:type="character" w:styleId="HeaderChar">
    <w:name w:val="Header Char"/>
    <w:qFormat/>
    <w:rPr>
      <w:sz w:val="24"/>
      <w:szCs w:val="24"/>
    </w:rPr>
  </w:style>
  <w:style w:type="character" w:styleId="FooterChar">
    <w:name w:val="Footer Char"/>
    <w:qFormat/>
    <w:rPr>
      <w:sz w:val="24"/>
      <w:szCs w:val="24"/>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Web">
    <w:name w:val="Normal (Web)"/>
    <w:basedOn w:val="Normal"/>
    <w:qFormat/>
    <w:pPr>
      <w:spacing w:before="280" w:after="280"/>
    </w:pPr>
    <w:rPr/>
  </w:style>
  <w:style w:type="paragraph" w:styleId="BalloonText">
    <w:name w:val="Balloon Text"/>
    <w:basedOn w:val="Normal"/>
    <w:qFormat/>
    <w:pPr/>
    <w:rPr>
      <w:rFonts w:ascii="Segoe UI" w:hAnsi="Segoe UI" w:cs="Segoe UI"/>
      <w:sz w:val="18"/>
      <w:szCs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2017-01-19T18:42:00Z</dcterms:created>
  <dc:creator>Hwang, Stephen</dc:creator>
  <dc:description/>
  <cp:keywords/>
  <dc:language>en-US</dc:language>
  <cp:lastModifiedBy>Huggins, Wayne</cp:lastModifiedBy>
  <dcterms:modified xsi:type="dcterms:W3CDTF">2017-06-21T13:30:00Z</dcterms:modified>
  <cp:revision>5</cp:revision>
  <dc:subject/>
  <dc:title/>
</cp:coreProperties>
</file>