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tab/>
      </w:r>
    </w:p>
    <w:tbl>
      <w:tblPr>
        <w:tblW w:w="9990" w:type="dxa"/>
        <w:jc w:val="left"/>
        <w:tblInd w:w="-455" w:type="dxa"/>
        <w:tblLayout w:type="fixed"/>
        <w:tblCellMar>
          <w:top w:w="115" w:type="dxa"/>
          <w:left w:w="115" w:type="dxa"/>
          <w:bottom w:w="115" w:type="dxa"/>
          <w:right w:w="115" w:type="dxa"/>
        </w:tblCellMar>
      </w:tblPr>
      <w:tblGrid>
        <w:gridCol w:w="2304"/>
        <w:gridCol w:w="7686"/>
      </w:tblGrid>
      <w:tr>
        <w:trPr/>
        <w:tc>
          <w:tcPr>
            <w:tcW w:w="999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68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Psychiatric</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68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Impact of Event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68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This measure can be used to assess symptoms and difficulties a respondent may have following a stressful life event (e.g., re-experiencing the event, avoidance behaviors, arousal and cognitive problems).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10800" w:type="dxa"/>
        <w:jc w:val="left"/>
        <w:tblInd w:w="-455" w:type="dxa"/>
        <w:tblLayout w:type="fixed"/>
        <w:tblCellMar>
          <w:top w:w="115" w:type="dxa"/>
          <w:left w:w="115" w:type="dxa"/>
          <w:bottom w:w="115" w:type="dxa"/>
          <w:right w:w="115" w:type="dxa"/>
        </w:tblCellMar>
      </w:tblPr>
      <w:tblGrid>
        <w:gridCol w:w="1620"/>
        <w:gridCol w:w="9180"/>
      </w:tblGrid>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91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Revised Impact of Event Scale is a self-rated measure that includes 22 items addressing difficulties that can be associated with experiencing stressful life events.  The time frame is the past seven days.  Each item is rated on a five-point scale (0=Not at all; 1= A little bit; 2= Moderately; 3= Quite a bit; 4 = Extremely).</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918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Impact of Events Scale - Revised</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Instructions: Below is a list of difficulties people sometimes have after stressful life events. Please read each item, and then indicate how distressing each difficulty has been for you DURING THE PAST SEVEN DAYS with respect to _____________ (event) that occurred on ___________(date).  How much have you been bothered by these difficulties?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pPr>
            <w:r>
              <w:rPr/>
            </w:r>
          </w:p>
          <w:tbl>
            <w:tblPr>
              <w:tblW w:w="8611" w:type="dxa"/>
              <w:jc w:val="left"/>
              <w:tblInd w:w="0" w:type="dxa"/>
              <w:tblLayout w:type="fixed"/>
              <w:tblCellMar>
                <w:top w:w="0" w:type="dxa"/>
                <w:left w:w="108" w:type="dxa"/>
                <w:bottom w:w="0" w:type="dxa"/>
                <w:right w:w="108" w:type="dxa"/>
              </w:tblCellMar>
            </w:tblPr>
            <w:tblGrid>
              <w:gridCol w:w="3661"/>
              <w:gridCol w:w="720"/>
              <w:gridCol w:w="810"/>
              <w:gridCol w:w="1260"/>
              <w:gridCol w:w="810"/>
              <w:gridCol w:w="1350"/>
            </w:tblGrid>
            <w:tr>
              <w:trPr/>
              <w:tc>
                <w:tcPr>
                  <w:tcW w:w="366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rFonts w:ascii="Arial" w:hAnsi="Arial" w:cs="Arial"/>
                      <w:sz w:val="22"/>
                      <w:szCs w:val="22"/>
                    </w:rPr>
                  </w:pPr>
                  <w:r>
                    <w:rPr>
                      <w:rFonts w:cs="Arial" w:ascii="Arial" w:hAnsi="Arial"/>
                      <w:sz w:val="22"/>
                      <w:szCs w:val="22"/>
                    </w:rPr>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0"/>
                      <w:szCs w:val="20"/>
                    </w:rPr>
                  </w:pPr>
                  <w:r>
                    <w:rPr>
                      <w:rFonts w:cs="Arial" w:ascii="Arial" w:hAnsi="Arial"/>
                      <w:sz w:val="20"/>
                      <w:szCs w:val="20"/>
                    </w:rPr>
                    <w:t>Not at all</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0"/>
                      <w:szCs w:val="20"/>
                    </w:rPr>
                  </w:pPr>
                  <w:r>
                    <w:rPr>
                      <w:rFonts w:cs="Arial" w:ascii="Arial" w:hAnsi="Arial"/>
                      <w:sz w:val="20"/>
                      <w:szCs w:val="20"/>
                    </w:rPr>
                    <w:t>A little bit</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0"/>
                      <w:szCs w:val="20"/>
                    </w:rPr>
                  </w:pPr>
                  <w:r>
                    <w:rPr>
                      <w:rFonts w:cs="Arial" w:ascii="Arial" w:hAnsi="Arial"/>
                      <w:sz w:val="20"/>
                      <w:szCs w:val="20"/>
                    </w:rPr>
                    <w:t>Moderately</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0"/>
                      <w:szCs w:val="20"/>
                    </w:rPr>
                  </w:pPr>
                  <w:r>
                    <w:rPr>
                      <w:rFonts w:cs="Arial" w:ascii="Arial" w:hAnsi="Arial"/>
                      <w:sz w:val="20"/>
                      <w:szCs w:val="20"/>
                    </w:rPr>
                    <w:t>Quite a bit</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0"/>
                      <w:szCs w:val="20"/>
                    </w:rPr>
                  </w:pPr>
                  <w:r>
                    <w:rPr>
                      <w:rFonts w:cs="Arial" w:ascii="Arial" w:hAnsi="Arial"/>
                      <w:sz w:val="20"/>
                      <w:szCs w:val="20"/>
                    </w:rPr>
                    <w:t>Extremely</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Any reminder brought back feelings about it.</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I had trouble staying asleep.</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Other things kept making me think about it.</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I felt irritable and angry.</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I avoided letting myself get upset when I thought about it or was reminded of it.</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I thought about it when I didn’t mean to.</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I felt as if it hadn’t happened or wasn’t real.</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I stayed away from reminders of it.</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Pictures about it popped into my mind.</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I was jumpy and easily startled</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I tried not to think about it.</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I was aware that I still had a lot feelings about it, but I didn’t deal with them.</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My feelings about it were kind of numb.</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I found myself acting or feeling like I was back at that time.</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I had trouble falling asleep.</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I had waves of strong feelings about it.</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I tried to remove it from my memory.</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I had trouble concentrating.</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Reminders of it caused me to have physical reactions, such as sweating, trouble breathing, nausea, or a pounding heart.</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I had dreams about it.</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408" w:hanging="408"/>
                    <w:contextualSpacing/>
                    <w:rPr>
                      <w:rFonts w:ascii="Arial" w:hAnsi="Arial" w:cs="Arial"/>
                      <w:sz w:val="22"/>
                      <w:szCs w:val="22"/>
                    </w:rPr>
                  </w:pPr>
                  <w:r>
                    <w:rPr>
                      <w:rFonts w:cs="Arial" w:ascii="Arial" w:hAnsi="Arial"/>
                      <w:sz w:val="22"/>
                      <w:szCs w:val="22"/>
                    </w:rPr>
                    <w:t>I felt watchful and on-guard.</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r>
              <w:trPr/>
              <w:tc>
                <w:tcPr>
                  <w:tcW w:w="366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ind w:left="318" w:hanging="360"/>
                    <w:contextualSpacing/>
                    <w:rPr>
                      <w:rFonts w:ascii="Arial" w:hAnsi="Arial" w:cs="Arial"/>
                      <w:sz w:val="22"/>
                      <w:szCs w:val="22"/>
                    </w:rPr>
                  </w:pPr>
                  <w:r>
                    <w:rPr>
                      <w:rFonts w:cs="Arial" w:ascii="Arial" w:hAnsi="Arial"/>
                      <w:sz w:val="22"/>
                      <w:szCs w:val="22"/>
                    </w:rPr>
                    <w:t>I tried not to talk about it.</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sz w:val="22"/>
                      <w:szCs w:val="22"/>
                    </w:rPr>
                  </w:pPr>
                  <w:r>
                    <w:rPr>
                      <w:rFonts w:cs="Arial" w:ascii="Arial" w:hAnsi="Arial"/>
                      <w:sz w:val="22"/>
                      <w:szCs w:val="22"/>
                    </w:rPr>
                    <w:t>4</w:t>
                  </w:r>
                </w:p>
              </w:tc>
            </w:tr>
          </w:tbl>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b/>
                <w:b/>
                <w:sz w:val="22"/>
                <w:szCs w:val="22"/>
                <w:u w:val="single"/>
              </w:rPr>
            </w:pPr>
            <w:r>
              <w:rPr>
                <w:rFonts w:cs="Arial" w:ascii="Arial" w:hAnsi="Arial"/>
                <w:b/>
                <w:sz w:val="22"/>
                <w:szCs w:val="22"/>
                <w:u w:val="single"/>
              </w:rPr>
              <w:t>Scoring</w:t>
            </w:r>
          </w:p>
          <w:p>
            <w:pPr>
              <w:pStyle w:val="Normal"/>
              <w:spacing w:before="0" w:after="0"/>
              <w:contextualSpacing/>
              <w:rPr>
                <w:rFonts w:ascii="Arial" w:hAnsi="Arial" w:cs="Arial"/>
                <w:b/>
                <w:b/>
                <w:sz w:val="22"/>
                <w:szCs w:val="22"/>
                <w:u w:val="single"/>
              </w:rPr>
            </w:pPr>
            <w:r>
              <w:rPr>
                <w:rFonts w:cs="Arial" w:ascii="Arial" w:hAnsi="Arial"/>
                <w:b/>
                <w:sz w:val="22"/>
                <w:szCs w:val="22"/>
                <w:u w:val="single"/>
              </w:rPr>
            </w:r>
          </w:p>
          <w:p>
            <w:pPr>
              <w:pStyle w:val="Normal"/>
              <w:spacing w:before="0" w:after="0"/>
              <w:contextualSpacing/>
              <w:rPr>
                <w:rFonts w:ascii="Arial" w:hAnsi="Arial" w:cs="Arial"/>
                <w:sz w:val="22"/>
                <w:szCs w:val="22"/>
              </w:rPr>
            </w:pPr>
            <w:r>
              <w:rPr>
                <w:rFonts w:cs="Arial" w:ascii="Arial" w:hAnsi="Arial"/>
                <w:sz w:val="22"/>
                <w:szCs w:val="22"/>
              </w:rPr>
              <w:t>The revised version of the Impact of Event Scale (IES-r) has a scoring range of 0 to 88.</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On this test, scores that exceed 24 can be quite meaningful. High scores have the following associations.</w:t>
            </w:r>
          </w:p>
          <w:p>
            <w:pPr>
              <w:pStyle w:val="Normal"/>
              <w:spacing w:before="0" w:after="0"/>
              <w:contextualSpacing/>
              <w:rPr>
                <w:rFonts w:ascii="Arial" w:hAnsi="Arial" w:cs="Arial"/>
                <w:sz w:val="22"/>
                <w:szCs w:val="22"/>
              </w:rPr>
            </w:pPr>
            <w:r>
              <w:rPr>
                <w:rFonts w:cs="Arial" w:ascii="Arial" w:hAnsi="Arial"/>
                <w:sz w:val="22"/>
                <w:szCs w:val="22"/>
              </w:rPr>
            </w:r>
          </w:p>
          <w:tbl>
            <w:tblPr>
              <w:tblW w:w="7139" w:type="dxa"/>
              <w:jc w:val="left"/>
              <w:tblInd w:w="0" w:type="dxa"/>
              <w:tblLayout w:type="fixed"/>
              <w:tblCellMar>
                <w:top w:w="0" w:type="dxa"/>
                <w:left w:w="108" w:type="dxa"/>
                <w:bottom w:w="0" w:type="dxa"/>
                <w:right w:w="108" w:type="dxa"/>
              </w:tblCellMar>
            </w:tblPr>
            <w:tblGrid>
              <w:gridCol w:w="2671"/>
              <w:gridCol w:w="4468"/>
            </w:tblGrid>
            <w:tr>
              <w:trPr/>
              <w:tc>
                <w:tcPr>
                  <w:tcW w:w="267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Score</w:t>
                  </w:r>
                </w:p>
              </w:tc>
              <w:tc>
                <w:tcPr>
                  <w:tcW w:w="446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Consequence</w:t>
                  </w:r>
                </w:p>
              </w:tc>
            </w:tr>
            <w:tr>
              <w:trPr/>
              <w:tc>
                <w:tcPr>
                  <w:tcW w:w="267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24 or more</w:t>
                  </w:r>
                </w:p>
              </w:tc>
              <w:tc>
                <w:tcPr>
                  <w:tcW w:w="446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PTSD is a clinical concern (Asukai &amp; Kato, 2002). Those with scores this high who do not have full PTSD will have partial PTSD or at least some of the symptoms.</w:t>
                  </w:r>
                </w:p>
              </w:tc>
            </w:tr>
            <w:tr>
              <w:trPr/>
              <w:tc>
                <w:tcPr>
                  <w:tcW w:w="267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33 and above</w:t>
                  </w:r>
                </w:p>
              </w:tc>
              <w:tc>
                <w:tcPr>
                  <w:tcW w:w="446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represents the best cutoff for a  probable diagnosis of PTSD (Creamer et al., 2002).</w:t>
                  </w:r>
                </w:p>
              </w:tc>
            </w:tr>
            <w:tr>
              <w:trPr/>
              <w:tc>
                <w:tcPr>
                  <w:tcW w:w="267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37 or more</w:t>
                  </w:r>
                </w:p>
              </w:tc>
              <w:tc>
                <w:tcPr>
                  <w:tcW w:w="446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This is high enough to suppress your immune system's functioning</w:t>
                  </w:r>
                  <w:r>
                    <w:rPr>
                      <w:rFonts w:cs="Arial" w:ascii="Arial" w:hAnsi="Arial"/>
                      <w:sz w:val="22"/>
                      <w:szCs w:val="22"/>
                    </w:rPr>
                    <w:t xml:space="preserve"> (even 10  years after an impact event) (Kawamura et al., 2001). </w:t>
                  </w:r>
                </w:p>
              </w:tc>
            </w:tr>
          </w:tbl>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9180" w:type="dxa"/>
            <w:tcBorders>
              <w:top w:val="single" w:sz="4" w:space="0" w:color="000000"/>
              <w:left w:val="single" w:sz="4" w:space="0" w:color="000000"/>
              <w:bottom w:val="single" w:sz="4" w:space="0" w:color="000000"/>
              <w:right w:val="single" w:sz="4" w:space="0" w:color="000000"/>
            </w:tcBorders>
          </w:tcPr>
          <w:p>
            <w:pPr>
              <w:pStyle w:val="Normal"/>
              <w:rPr>
                <w:rStyle w:val="DefaultChar"/>
                <w:sz w:val="22"/>
                <w:szCs w:val="22"/>
                <w:highlight w:val="yellow"/>
              </w:rPr>
            </w:pPr>
            <w:r>
              <w:rPr>
                <w:rStyle w:val="DefaultChar"/>
                <w:sz w:val="22"/>
                <w:szCs w:val="22"/>
              </w:rPr>
              <w:t>Adults, ages 18 and older</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9180" w:type="dxa"/>
            <w:tcBorders>
              <w:top w:val="single" w:sz="4" w:space="0" w:color="000000"/>
              <w:left w:val="single" w:sz="4" w:space="0" w:color="000000"/>
              <w:bottom w:val="single" w:sz="4" w:space="0" w:color="000000"/>
              <w:right w:val="single" w:sz="4" w:space="0" w:color="000000"/>
            </w:tcBorders>
          </w:tcPr>
          <w:p>
            <w:pPr>
              <w:pStyle w:val="Normal"/>
              <w:autoSpaceDE w:val="false"/>
              <w:ind w:right="-30" w:hanging="0"/>
              <w:rPr>
                <w:rFonts w:ascii="Arial" w:hAnsi="Arial" w:cs="Arial"/>
                <w:sz w:val="22"/>
                <w:szCs w:val="22"/>
                <w:highlight w:val="yellow"/>
              </w:rPr>
            </w:pPr>
            <w:r>
              <w:rPr>
                <w:rFonts w:cs="Arial" w:ascii="Arial" w:hAnsi="Arial"/>
                <w:sz w:val="22"/>
                <w:szCs w:val="22"/>
              </w:rPr>
              <w:t>Weiss, D.S., &amp; Marmar, C.R. (1997). The Impact of Event Scale-Revised. In J.P. Wilson &amp; T.M. Keane (Eds.), Assessing Psychological Trauma and PTSD (pp.399-411). New York: Guilford.</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91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91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None</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91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None</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91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Self-administered rating scale</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91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Asukai, N. Kato, H. et al. (2002). Reliability and validity of the Japanese-language version of the Impact of event scale-revised (IES-R-J). </w:t>
            </w:r>
            <w:r>
              <w:rPr>
                <w:rFonts w:cs="Arial" w:ascii="Arial" w:hAnsi="Arial"/>
                <w:i/>
                <w:sz w:val="22"/>
                <w:szCs w:val="22"/>
              </w:rPr>
              <w:t>Journal of Nervous and Mental Disease</w:t>
            </w:r>
            <w:r>
              <w:rPr>
                <w:rFonts w:cs="Arial" w:ascii="Arial" w:hAnsi="Arial"/>
                <w:sz w:val="22"/>
                <w:szCs w:val="22"/>
              </w:rPr>
              <w:t>. 190 (3): 175- 182.</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pPr>
            <w:r>
              <w:rPr>
                <w:rFonts w:cs="Arial" w:ascii="Arial" w:hAnsi="Arial"/>
                <w:sz w:val="22"/>
                <w:szCs w:val="22"/>
              </w:rPr>
              <w:t xml:space="preserve">Coffey, S.F. &amp; Berglind, G. (2006). Screening for PTSD in motor vehicle accident survivors using PSS-SR and IES. </w:t>
            </w:r>
            <w:r>
              <w:rPr>
                <w:rFonts w:cs="Arial" w:ascii="Arial" w:hAnsi="Arial"/>
                <w:i/>
                <w:sz w:val="22"/>
                <w:szCs w:val="22"/>
              </w:rPr>
              <w:t>Journal of Traumatic Stress</w:t>
            </w:r>
            <w:r>
              <w:rPr>
                <w:rFonts w:cs="Arial" w:ascii="Arial" w:hAnsi="Arial"/>
                <w:sz w:val="22"/>
                <w:szCs w:val="22"/>
              </w:rPr>
              <w:t>. 19 (1): 119-128.</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pPr>
            <w:r>
              <w:rPr>
                <w:rFonts w:cs="Arial" w:ascii="Arial" w:hAnsi="Arial"/>
                <w:sz w:val="22"/>
                <w:szCs w:val="22"/>
              </w:rPr>
              <w:t xml:space="preserve">Creamer, M. Bell, R. &amp; Falilla, S. (2002). Psychometric properties of the Impact of Event Scale- Revised. </w:t>
            </w:r>
            <w:r>
              <w:rPr>
                <w:rFonts w:cs="Arial" w:ascii="Arial" w:hAnsi="Arial"/>
                <w:i/>
                <w:sz w:val="22"/>
                <w:szCs w:val="22"/>
              </w:rPr>
              <w:t>Behaviour Research and Therapy</w:t>
            </w:r>
            <w:r>
              <w:rPr>
                <w:rFonts w:cs="Arial" w:ascii="Arial" w:hAnsi="Arial"/>
                <w:sz w:val="22"/>
                <w:szCs w:val="22"/>
              </w:rPr>
              <w:t>. 41: 1489-1496.</w:t>
            </w:r>
          </w:p>
          <w:p>
            <w:pPr>
              <w:pStyle w:val="Normal"/>
              <w:spacing w:before="0" w:after="0"/>
              <w:contextualSpacing/>
              <w:rPr/>
            </w:pPr>
            <w:r>
              <w:rPr>
                <w:rFonts w:cs="Arial" w:ascii="Arial" w:hAnsi="Arial"/>
                <w:sz w:val="22"/>
                <w:szCs w:val="22"/>
              </w:rPr>
              <w:t xml:space="preserve">Horowitz, M. Wilner, N. &amp; Alvarez, W. (1979). Impact of Event Scale: A measure of subjective stress. </w:t>
            </w:r>
            <w:r>
              <w:rPr>
                <w:rFonts w:cs="Arial" w:ascii="Arial" w:hAnsi="Arial"/>
                <w:i/>
                <w:sz w:val="22"/>
                <w:szCs w:val="22"/>
              </w:rPr>
              <w:t>Psychosomatic Medicine</w:t>
            </w:r>
            <w:r>
              <w:rPr>
                <w:rFonts w:cs="Arial" w:ascii="Arial" w:hAnsi="Arial"/>
                <w:sz w:val="22"/>
                <w:szCs w:val="22"/>
              </w:rPr>
              <w:t>, 41, 209-218.</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pPr>
            <w:r>
              <w:rPr>
                <w:rFonts w:cs="Arial" w:ascii="Arial" w:hAnsi="Arial"/>
                <w:sz w:val="22"/>
                <w:szCs w:val="22"/>
              </w:rPr>
              <w:t>Hutchins, E. &amp; Devilly, G.J. (2005). Impact of Events Scale. Victim's Web Site. http://www.swin.edu.au/victims/resources/assessment/ptsd/ies.html</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Kawamura, N. Yoshiharu, K. &amp; Nozomu, A. (2001) Suppression of Cellular Immunity in Men with a Past History of Post Traumatic Stress Disorder. </w:t>
            </w:r>
            <w:r>
              <w:rPr>
                <w:rFonts w:cs="Arial" w:ascii="Arial" w:hAnsi="Arial"/>
                <w:i/>
                <w:sz w:val="22"/>
                <w:szCs w:val="22"/>
              </w:rPr>
              <w:t>American Journal of Psychiatry</w:t>
            </w:r>
            <w:r>
              <w:rPr>
                <w:rFonts w:cs="Arial" w:ascii="Arial" w:hAnsi="Arial"/>
                <w:sz w:val="22"/>
                <w:szCs w:val="22"/>
              </w:rPr>
              <w:t>. 158: 484- 486</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Neal, L.A., Walter, B., Rollins, J., et al. (1994). Convergent Validity of Measures of Post-Traumatic Stress Disorder in a Mixed Military and Civilian Population. </w:t>
            </w:r>
            <w:r>
              <w:rPr>
                <w:rFonts w:cs="Arial" w:ascii="Arial" w:hAnsi="Arial"/>
                <w:i/>
                <w:sz w:val="22"/>
                <w:szCs w:val="22"/>
              </w:rPr>
              <w:t>Journal of Traumatic Stress</w:t>
            </w:r>
            <w:r>
              <w:rPr>
                <w:rFonts w:cs="Arial" w:ascii="Arial" w:hAnsi="Arial"/>
                <w:sz w:val="22"/>
                <w:szCs w:val="22"/>
              </w:rPr>
              <w:t>. 7 (3): 447-455.</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9180"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Expert Review Panel 4 (ERP 4) reviewed the measures in the Neurology, Psychiatric, and Psychosocial domains.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Guidance from ERP 4 included the following:</w:t>
            </w:r>
          </w:p>
          <w:p>
            <w:pPr>
              <w:pStyle w:val="Normal"/>
              <w:numPr>
                <w:ilvl w:val="0"/>
                <w:numId w:val="1"/>
              </w:numPr>
              <w:spacing w:before="0" w:after="0"/>
              <w:contextualSpacing/>
              <w:rPr>
                <w:rFonts w:ascii="Arial" w:hAnsi="Arial" w:cs="Arial"/>
                <w:sz w:val="22"/>
                <w:szCs w:val="22"/>
              </w:rPr>
            </w:pPr>
            <w:r>
              <w:rPr>
                <w:rFonts w:cs="Arial" w:ascii="Arial" w:hAnsi="Arial"/>
                <w:sz w:val="22"/>
                <w:szCs w:val="22"/>
              </w:rPr>
              <w:t>Added new Supplemental Information</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pPr>
    <w:r>
      <w:rPr>
        <w:rFonts w:cs="Arial" w:ascii="Arial" w:hAnsi="Arial"/>
        <w:b/>
        <w:sz w:val="20"/>
        <w:szCs w:val="20"/>
      </w:rPr>
      <w:t>[Depressed Mood]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Psychiatric</w:t>
    </w:r>
  </w:p>
  <w:p>
    <w:pPr>
      <w:pStyle w:val="Normal"/>
      <w:rPr>
        <w:rFonts w:ascii="Arial" w:hAnsi="Arial" w:cs="Arial"/>
        <w:b/>
        <w:b/>
        <w:sz w:val="20"/>
        <w:szCs w:val="20"/>
      </w:rPr>
    </w:pPr>
    <w:r>
      <w:rPr>
        <w:rFonts w:cs="Arial" w:ascii="Arial" w:hAnsi="Arial"/>
        <w:b/>
        <w:sz w:val="20"/>
        <w:szCs w:val="20"/>
      </w:rPr>
      <w:t>Release Date:</w:t>
      <w:tab/>
      <w:tab/>
    </w:r>
  </w:p>
  <w:p>
    <w:pPr>
      <w:pStyle w:val="Normal"/>
      <w:rPr/>
    </w:pPr>
    <w:r>
      <w:rPr>
        <w:rFonts w:cs="Arial" w:ascii="Arial" w:hAnsi="Arial"/>
        <w:b/>
        <w:bCs/>
        <w:sz w:val="20"/>
        <w:szCs w:val="20"/>
      </w:rPr>
      <w:t>[Impact of Events]</w:t>
    </w:r>
    <w:r>
      <w:rPr>
        <w:rFonts w:cs="Arial" w:ascii="Arial" w:hAnsi="Arial"/>
        <w:b/>
        <w:sz w:val="20"/>
        <w:szCs w:val="20"/>
      </w:rPr>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abstractNum>
  <w:abstractNum w:abstractNumId="2">
    <w:lvl w:ilvl="0">
      <w:start w:val="1"/>
      <w:numFmt w:val="decimal"/>
      <w:lvlText w:val="%1."/>
      <w:lvlJc w:val="left"/>
      <w:pPr>
        <w:tabs>
          <w:tab w:val="num" w:pos="0"/>
        </w:tabs>
        <w:ind w:left="72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2017-09-12T19:51:00Z</dcterms:created>
  <dc:creator>whuggins</dc:creator>
  <dc:description/>
  <cp:keywords/>
  <dc:language>en-US</dc:language>
  <cp:lastModifiedBy>Huggins, Wayne</cp:lastModifiedBy>
  <cp:lastPrinted>2009-03-24T15:13:00Z</cp:lastPrinted>
  <dcterms:modified xsi:type="dcterms:W3CDTF">2017-10-31T14:18:00Z</dcterms:modified>
  <cp:revision>5</cp:revision>
  <dc:subject/>
  <dc:title/>
</cp:coreProperties>
</file>