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Gastrointestinal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 Impedence Test for Gastroesophageal Reflux Disease (GERD)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is a procedure to determine the presence of gastroesophageal reflux disease (GERD) using pH impedence testing.</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pH impedance test involves inserting a catheter through the nose and positioning it in the esophagus. Patients go about their daily activities for a 24-hour period with the catheter in place, noting food and drink intake and timing of any symptoms in a diary. After the 24-hour period, the catheter is removed and the data are analyzed.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color w:val="000000"/>
                <w:sz w:val="22"/>
                <w:szCs w:val="22"/>
              </w:rPr>
              <w:t>The m</w:t>
            </w:r>
            <w:r>
              <w:rPr>
                <w:rFonts w:cs="Arial" w:ascii="Arial" w:hAnsi="Arial"/>
                <w:sz w:val="22"/>
                <w:szCs w:val="22"/>
                <w:lang w:val="en"/>
              </w:rPr>
              <w:t>ultichannel intraluminal impedance (</w:t>
            </w:r>
            <w:r>
              <w:rPr>
                <w:rFonts w:cs="Arial" w:ascii="Arial" w:hAnsi="Arial"/>
                <w:color w:val="000000"/>
                <w:sz w:val="22"/>
                <w:szCs w:val="22"/>
              </w:rPr>
              <w:t xml:space="preserve">MII)-pH catheter consists of a 2.1-mm polyurethane catheter incorporating 6 impedance segments and 1 pH-measuring electrode (Sandhill Scientific, Denver, CO). It contains 6 impedance segments placed 3, 5, 7, 9, 15, and 17 cm above the lower esophageal sphincter, plus a pH electrode at 5 cm above the lower esophageal sphincter. </w:t>
            </w:r>
            <w:r>
              <w:rPr>
                <w:rFonts w:cs="Arial" w:ascii="Arial" w:hAnsi="Arial"/>
                <w:sz w:val="22"/>
                <w:szCs w:val="22"/>
              </w:rPr>
              <w:t>This configuration allows the detection of the</w:t>
            </w:r>
            <w:r>
              <w:rPr>
                <w:rFonts w:cs="Arial" w:ascii="Arial" w:hAnsi="Arial"/>
                <w:color w:val="000000"/>
                <w:sz w:val="22"/>
                <w:szCs w:val="22"/>
              </w:rPr>
              <w:t xml:space="preserve"> progression of refluxate in the esophagus, and also the ability to define whether this bolus movement is cephalad or caudate, thus distinguishing between a swallow or a reflux episode. The sampling frequency for the MII-pH catheter is 50 Hz.</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The pH electrode of the MII-pH catheter initially was calibrated in buffer solutions of pH 4 and pH 7. The MII-pH probe was introduced through the nose. All patients on acid-suppression therapy were on a proton pump inhibitor (PPI). Patients were asked to follow a regular activity and meal regimen during the 24-hour study period, mimicking as much as possible a regular day for them. All patients also were asked to refrain from consuming any drinks, other than water, outside of meal or snack periods, which they were asked to note on the diary and mark on the data recorder by pressing the meal button. Patients were given a personal diary to note meal times, medication intake, time in the recumbent position, and the timing of any symptoms (regurgitation, heartburn, chest pain, and so forth). Data from the MII-pH probe was transmitted and recorded on a portable data recorder (Z-logger; Sandhill Scientific). At the end of the 24-hour period, the MII-pH probe was removed. The recorded data were downloaded to a computer and interpreted with the help of Bioview</w:t>
            </w:r>
            <w:r>
              <w:rPr>
                <w:rFonts w:eastAsia="Symbol" w:cs="Symbol" w:ascii="Symbol" w:hAnsi="Symbol"/>
                <w:sz w:val="22"/>
                <w:szCs w:val="22"/>
              </w:rPr>
              <w:t></w:t>
            </w:r>
            <w:r>
              <w:rPr>
                <w:rFonts w:cs="Arial" w:ascii="Arial" w:hAnsi="Arial"/>
                <w:sz w:val="22"/>
                <w:szCs w:val="22"/>
              </w:rPr>
              <w:t xml:space="preserve"> MII software (Sandhill Scientific). The meal periods were excluded from the analysis.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Please see the source document for more information on data analysis.</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i/>
                <w:iCs/>
                <w:sz w:val="20"/>
                <w:szCs w:val="20"/>
              </w:rPr>
              <w:t>BioVIEW</w:t>
            </w:r>
            <w:r>
              <w:rPr>
                <w:rFonts w:eastAsia="Symbol" w:cs="Symbol" w:ascii="Symbol" w:hAnsi="Symbol"/>
                <w:i/>
                <w:iCs/>
                <w:sz w:val="20"/>
                <w:szCs w:val="20"/>
              </w:rPr>
              <w:t></w:t>
            </w:r>
            <w:r>
              <w:rPr>
                <w:rFonts w:cs="Arial" w:ascii="Arial" w:hAnsi="Arial"/>
                <w:i/>
                <w:iCs/>
                <w:sz w:val="20"/>
                <w:szCs w:val="20"/>
              </w:rPr>
              <w:t xml:space="preserve"> is a registered trademark of Sandhill Scientific.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Although the original study was performed on individuals 16 to 77 years old, the Gastrointestinal Working Group recommends that pH testing can be done on adults ages 18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Hila, A., Agrawal, A., &amp; Castell, D. O. (2007). Combined multichannel intraluminal impedance and pH esophageal testing compared to pH alone for diagnosing both acid and weakly acidic gastroesophageal reflux. </w:t>
            </w:r>
            <w:r>
              <w:rPr>
                <w:rFonts w:cs="Arial" w:ascii="Arial" w:hAnsi="Arial"/>
                <w:i/>
                <w:iCs/>
                <w:sz w:val="22"/>
                <w:szCs w:val="22"/>
              </w:rPr>
              <w:t>Clinical Gastroenterology and Hepatology</w:t>
            </w:r>
            <w:r>
              <w:rPr>
                <w:rFonts w:cs="Arial" w:ascii="Arial" w:hAnsi="Arial"/>
                <w:sz w:val="22"/>
                <w:szCs w:val="22"/>
              </w:rPr>
              <w:t xml:space="preserve">, </w:t>
            </w:r>
            <w:r>
              <w:rPr>
                <w:rFonts w:cs="Arial" w:ascii="Arial" w:hAnsi="Arial"/>
                <w:i/>
                <w:iCs/>
                <w:sz w:val="22"/>
                <w:szCs w:val="22"/>
              </w:rPr>
              <w:t xml:space="preserve">5, </w:t>
            </w:r>
            <w:r>
              <w:rPr>
                <w:rFonts w:cs="Arial" w:ascii="Arial" w:hAnsi="Arial"/>
                <w:sz w:val="22"/>
                <w:szCs w:val="22"/>
              </w:rPr>
              <w:t>172-177.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Trained personnel are required to place the catheter, calibrate the equipment, and download the data to the computer for interpretation. A physician is required who is trained on visual characterization of gastroesophageal reflux by esophageal impedance-pH, in order to reduce interobserver variability and improve the interpretation of impedance-pH tracings.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color w:val="000000"/>
                <w:sz w:val="22"/>
                <w:szCs w:val="22"/>
              </w:rPr>
              <w:t>MII-pH catheter consisting of a 2.1-mm polyurethane catheter incorporating 6 impedance segments and 1 pH-measuring electrode (Sandhill Scientific, Denver,</w:t>
            </w:r>
          </w:p>
          <w:p>
            <w:pPr>
              <w:pStyle w:val="Normal"/>
              <w:spacing w:before="0" w:after="0"/>
              <w:contextualSpacing/>
              <w:rPr>
                <w:rStyle w:val="DefaultChar"/>
                <w:sz w:val="22"/>
                <w:szCs w:val="22"/>
              </w:rPr>
            </w:pPr>
            <w:r>
              <w:rPr>
                <w:rFonts w:cs="Arial" w:ascii="Arial" w:hAnsi="Arial"/>
                <w:color w:val="000000"/>
                <w:sz w:val="22"/>
                <w:szCs w:val="22"/>
              </w:rPr>
              <w:t>CO), p</w:t>
            </w:r>
            <w:r>
              <w:rPr>
                <w:rFonts w:cs="Arial" w:ascii="Arial" w:hAnsi="Arial"/>
                <w:sz w:val="22"/>
                <w:szCs w:val="22"/>
              </w:rPr>
              <w:t>ortable data recorder (Z-logger; Sandhill Scientific), Bioview</w:t>
            </w:r>
            <w:r>
              <w:rPr>
                <w:rFonts w:eastAsia="Symbol" w:cs="Symbol" w:ascii="Symbol" w:hAnsi="Symbol"/>
                <w:i/>
                <w:iCs/>
                <w:sz w:val="20"/>
                <w:szCs w:val="20"/>
              </w:rPr>
              <w:t></w:t>
            </w:r>
            <w:r>
              <w:rPr>
                <w:rFonts w:cs="Arial" w:ascii="Arial" w:hAnsi="Arial"/>
                <w:sz w:val="22"/>
                <w:szCs w:val="22"/>
              </w:rPr>
              <w:t xml:space="preserve"> MII software (Sandhill Scientific).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Zerbib, F., Roman, S., Ropert, A., des Varannes, S. B., Pouderoux, P., Chaput, U., Mion, F., Vérin, E., Galmiche, J.-P., &amp; Sifrim, D. (2006). Esophageal pH-impedance monitoring and symptom analysis in GERD: A study in patients off and on therapy. </w:t>
            </w:r>
            <w:r>
              <w:rPr>
                <w:rFonts w:cs="Arial" w:ascii="Arial" w:hAnsi="Arial"/>
                <w:i/>
                <w:iCs/>
                <w:sz w:val="22"/>
                <w:szCs w:val="22"/>
              </w:rPr>
              <w:t>American Journal of Gastroenterology</w:t>
            </w:r>
            <w:r>
              <w:rPr>
                <w:rFonts w:cs="Arial" w:ascii="Arial" w:hAnsi="Arial"/>
                <w:sz w:val="22"/>
                <w:szCs w:val="22"/>
              </w:rPr>
              <w:t xml:space="preserve">, </w:t>
            </w:r>
            <w:r>
              <w:rPr>
                <w:rFonts w:cs="Arial" w:ascii="Arial" w:hAnsi="Arial"/>
                <w:i/>
                <w:iCs/>
                <w:sz w:val="22"/>
                <w:szCs w:val="22"/>
              </w:rPr>
              <w:t>101</w:t>
            </w:r>
            <w:r>
              <w:rPr>
                <w:rFonts w:cs="Arial" w:ascii="Arial" w:hAnsi="Arial"/>
                <w:sz w:val="22"/>
                <w:szCs w:val="22"/>
              </w:rPr>
              <w:t>, 1956-1963. doi:10.1111/j.1572-0241.2006.00711.x</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pH Impedence Test for Gastroesophageal Reflux Disease (GERD)</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Gastrointestinal</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bCs/>
        <w:sz w:val="20"/>
        <w:szCs w:val="20"/>
      </w:rPr>
      <w:t>pH Impedence Test for Gastroesophageal Reflux Disease (GERD)</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2011-10-07T20:40:00Z</dcterms:modified>
  <cp:revision>10</cp:revision>
  <dc:subject/>
  <dc:title/>
</cp:coreProperties>
</file>