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Gastrointestinal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Gallbladder Ultrasound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This is a measure for an ultrasound procedure to detect abnormalities of the gallbladder.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Diagnostic ultrasound uses high-frequency sound waves to produce visual images of internal body structures. The ultrasound beam is transmitted to human tissue, reflected, and converted into a visual image, which can be studied for evidence of disease or abnormality.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Please see the Gallbladder Ultrasonography Procedure Manual for details on performing a gallbladder ultrasound.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Adults, aged 20–74 years old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Centers for Disease Control and Prevention (CDC). National Center for Health Statistics (NCHS). National Health and Nutrition Examination Survey (NHANES) III. (1988). Gallbladder Ultrasonography Procedure Manual.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All ultrasound personnel will receive training in the standardized procedures and will be tested for proficiency.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For a detailed description of equipment and supplies needed to complete this protocol, please see the Gallbladder Ultrasonography Procedure Manual, Section 2.1.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Physical Examination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Everhart, J. E., Khare, M., Hill, M., &amp; Maurer, K. R. (1999). Prevalence and ethnic differences in gallbladder disease in the United States.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Gastroenterology</w:t>
            </w:r>
            <w:r>
              <w:rPr>
                <w:rFonts w:cs="Arial" w:ascii="Arial" w:hAnsi="Arial"/>
                <w:sz w:val="22"/>
                <w:szCs w:val="22"/>
              </w:rPr>
              <w:t>,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 117</w:t>
            </w:r>
            <w:r>
              <w:rPr>
                <w:rFonts w:cs="Arial" w:ascii="Arial" w:hAnsi="Arial"/>
                <w:sz w:val="22"/>
                <w:szCs w:val="22"/>
              </w:rPr>
              <w:t>, 632–639.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Ruhl, C. E., &amp; Everhart, J. E. (2000). Association of diabetes, serum insulin, and C</w:t>
              <w:noBreakHyphen/>
              <w:t xml:space="preserve">peptide with gallbladder disease.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Hepatology,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31</w:t>
            </w:r>
            <w:r>
              <w:rPr>
                <w:rFonts w:cs="Arial" w:ascii="Arial" w:hAnsi="Arial"/>
                <w:sz w:val="22"/>
                <w:szCs w:val="22"/>
              </w:rPr>
              <w:t>, 299–303.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Gallbladder Ultrasound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Gastrointestinal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December 13, 2010</w:t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Gallbladder Ultrasound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2011-09-09T18:49:00Z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2011-10-07T20:42:00Z</dcterms:modified>
  <cp:revision>10</cp:revision>
  <dc:subject/>
  <dc:title/>
</cp:coreProperties>
</file>