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left="-720" w:right="-432" w:hanging="0"/>
        <w:contextualSpacing/>
        <w:rPr>
          <w:b/>
          <w:b/>
        </w:rPr>
      </w:pPr>
      <w:r>
        <w:rPr>
          <w:b/>
        </w:rPr>
      </w:r>
    </w:p>
    <w:tbl>
      <w:tblPr>
        <w:tblW w:w="9360" w:type="dxa"/>
        <w:jc w:val="center"/>
        <w:tblInd w:w="0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</w:tblPr>
      <w:tblGrid>
        <w:gridCol w:w="2304"/>
        <w:gridCol w:w="7056"/>
      </w:tblGrid>
      <w:tr>
        <w:trPr/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120" w:hanging="0"/>
              <w:contextualSpacing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About the Measure 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Domain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Bone and Joint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Measure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Femoral head avascular necrosis (AVN)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Definition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Femoral head avascular necrosis (AVN) is the death of bone tissue due to a loss of blood supply. Untreated AVN can cause pain and bones/joints to collapse. 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tbl>
      <w:tblPr>
        <w:tblW w:w="9360" w:type="dxa"/>
        <w:jc w:val="center"/>
        <w:tblInd w:w="0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</w:tblPr>
      <w:tblGrid>
        <w:gridCol w:w="2304"/>
        <w:gridCol w:w="7056"/>
      </w:tblGrid>
      <w:tr>
        <w:trPr/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120" w:hanging="0"/>
              <w:contextualSpacing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About the Protocol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Description of Protocol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Simple, six-stage classification system utilizing X-ray and other imaging modalities to classify stage of femoral head avascular necrosis (AVN). 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Protocol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/>
            </w:pPr>
            <w:r>
              <w:rPr>
                <w:rFonts w:cs="Arial" w:ascii="Arial" w:hAnsi="Arial"/>
                <w:sz w:val="22"/>
                <w:szCs w:val="22"/>
              </w:rPr>
              <w:t xml:space="preserve">Criteria for staging AVN </w:t>
            </w:r>
          </w:p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rPr/>
            </w:pPr>
            <w:r>
              <w:rPr>
                <w:rFonts w:cs="Arial" w:ascii="Arial" w:hAnsi="Arial"/>
                <w:sz w:val="22"/>
                <w:szCs w:val="22"/>
              </w:rPr>
              <w:t>Stage I – Normal radiographs; abnormal MRI or bone scan</w:t>
            </w:r>
          </w:p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Stage II – Abnormal lucency or sclerotic site in femoral head</w:t>
            </w:r>
          </w:p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rPr/>
            </w:pPr>
            <w:r>
              <w:rPr>
                <w:rFonts w:cs="Arial" w:ascii="Arial" w:hAnsi="Arial"/>
                <w:sz w:val="22"/>
                <w:szCs w:val="22"/>
              </w:rPr>
              <w:t>Stage III – Subchondral collapse (i.e., crescent sign) without flattening of femoral head</w:t>
            </w:r>
          </w:p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rPr/>
            </w:pPr>
            <w:r>
              <w:rPr>
                <w:rFonts w:cs="Arial" w:ascii="Arial" w:hAnsi="Arial"/>
                <w:sz w:val="22"/>
                <w:szCs w:val="22"/>
              </w:rPr>
              <w:t>Stage IV – Flattening of the femoral head; normal joint space</w:t>
            </w:r>
          </w:p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rPr/>
            </w:pPr>
            <w:r>
              <w:rPr>
                <w:rFonts w:cs="Arial" w:ascii="Arial" w:hAnsi="Arial"/>
                <w:sz w:val="22"/>
                <w:szCs w:val="22"/>
              </w:rPr>
              <w:t>Stage V – Joint space narrowing, acetabular changes, or both</w:t>
            </w:r>
          </w:p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Stage VI – Advanced degenerative changes</w:t>
            </w:r>
          </w:p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rPr/>
            </w:pPr>
            <w:r>
              <w:rPr>
                <w:rFonts w:cs="Arial" w:ascii="Arial" w:hAnsi="Arial"/>
                <w:sz w:val="22"/>
                <w:szCs w:val="22"/>
              </w:rPr>
              <w:t>Stages I-IV are further subdivided according to the percentage of femoral head involvement: A (&lt; 15%), B (15-30%), or C (&gt; 30%).</w:t>
            </w:r>
          </w:p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The extent or grade of involvement should also be indicated as A, mild; B, moderate; or C, severe.</w:t>
            </w:r>
          </w:p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tbl>
            <w:tblPr>
              <w:tblW w:w="6811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17"/>
              <w:gridCol w:w="2160"/>
              <w:gridCol w:w="3434"/>
            </w:tblGrid>
            <w:tr>
              <w:trPr/>
              <w:tc>
                <w:tcPr>
                  <w:tcW w:w="12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contextualSpacing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Stage</w:t>
                  </w: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contextualSpacing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Grade</w:t>
                  </w:r>
                </w:p>
              </w:tc>
              <w:tc>
                <w:tcPr>
                  <w:tcW w:w="34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spacing w:before="0" w:after="0"/>
                    <w:contextualSpacing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</w:r>
                </w:p>
              </w:tc>
            </w:tr>
            <w:tr>
              <w:trPr/>
              <w:tc>
                <w:tcPr>
                  <w:tcW w:w="12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contextualSpacing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I &amp; II</w:t>
                  </w: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numPr>
                      <w:ilvl w:val="0"/>
                      <w:numId w:val="3"/>
                    </w:numPr>
                    <w:spacing w:before="0" w:after="0"/>
                    <w:contextualSpacing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mild</w:t>
                  </w:r>
                </w:p>
              </w:tc>
              <w:tc>
                <w:tcPr>
                  <w:tcW w:w="34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contextualSpacing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&lt; 15% of head involvement</w:t>
                  </w:r>
                </w:p>
              </w:tc>
            </w:tr>
            <w:tr>
              <w:trPr/>
              <w:tc>
                <w:tcPr>
                  <w:tcW w:w="12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spacing w:before="0" w:after="0"/>
                    <w:contextualSpacing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</w: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numPr>
                      <w:ilvl w:val="0"/>
                      <w:numId w:val="3"/>
                    </w:numPr>
                    <w:spacing w:before="0" w:after="0"/>
                    <w:contextualSpacing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moderate</w:t>
                  </w:r>
                </w:p>
              </w:tc>
              <w:tc>
                <w:tcPr>
                  <w:tcW w:w="34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contextualSpacing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15%-30%</w:t>
                  </w:r>
                </w:p>
              </w:tc>
            </w:tr>
            <w:tr>
              <w:trPr/>
              <w:tc>
                <w:tcPr>
                  <w:tcW w:w="12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spacing w:before="0" w:after="0"/>
                    <w:contextualSpacing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</w: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numPr>
                      <w:ilvl w:val="0"/>
                      <w:numId w:val="3"/>
                    </w:numPr>
                    <w:spacing w:before="0" w:after="0"/>
                    <w:contextualSpacing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severe</w:t>
                  </w:r>
                </w:p>
              </w:tc>
              <w:tc>
                <w:tcPr>
                  <w:tcW w:w="34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contextualSpacing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&gt; 30%</w:t>
                  </w:r>
                </w:p>
              </w:tc>
            </w:tr>
            <w:tr>
              <w:trPr/>
              <w:tc>
                <w:tcPr>
                  <w:tcW w:w="12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contextualSpacing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III</w:t>
                  </w: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numPr>
                      <w:ilvl w:val="0"/>
                      <w:numId w:val="2"/>
                    </w:numPr>
                    <w:spacing w:before="0" w:after="0"/>
                    <w:contextualSpacing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mild</w:t>
                  </w:r>
                </w:p>
              </w:tc>
              <w:tc>
                <w:tcPr>
                  <w:tcW w:w="34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contextualSpacing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Subchondral collapse</w:t>
                  </w:r>
                </w:p>
              </w:tc>
            </w:tr>
            <w:tr>
              <w:trPr/>
              <w:tc>
                <w:tcPr>
                  <w:tcW w:w="12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spacing w:before="0" w:after="0"/>
                    <w:contextualSpacing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</w: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numPr>
                      <w:ilvl w:val="0"/>
                      <w:numId w:val="2"/>
                    </w:numPr>
                    <w:spacing w:before="0" w:after="0"/>
                    <w:contextualSpacing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moderate</w:t>
                  </w:r>
                </w:p>
              </w:tc>
              <w:tc>
                <w:tcPr>
                  <w:tcW w:w="34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contextualSpacing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Crescent beneath 15%-30%</w:t>
                  </w:r>
                </w:p>
              </w:tc>
            </w:tr>
            <w:tr>
              <w:trPr/>
              <w:tc>
                <w:tcPr>
                  <w:tcW w:w="12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spacing w:before="0" w:after="0"/>
                    <w:contextualSpacing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</w: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numPr>
                      <w:ilvl w:val="0"/>
                      <w:numId w:val="2"/>
                    </w:numPr>
                    <w:spacing w:before="0" w:after="0"/>
                    <w:contextualSpacing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severe</w:t>
                  </w:r>
                </w:p>
              </w:tc>
              <w:tc>
                <w:tcPr>
                  <w:tcW w:w="34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contextualSpacing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Crescent beneath &gt; 30%</w:t>
                  </w:r>
                </w:p>
              </w:tc>
            </w:tr>
            <w:tr>
              <w:trPr/>
              <w:tc>
                <w:tcPr>
                  <w:tcW w:w="12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contextualSpacing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IV</w:t>
                  </w: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numPr>
                      <w:ilvl w:val="0"/>
                      <w:numId w:val="1"/>
                    </w:numPr>
                    <w:spacing w:before="0" w:after="0"/>
                    <w:contextualSpacing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mild</w:t>
                  </w:r>
                </w:p>
              </w:tc>
              <w:tc>
                <w:tcPr>
                  <w:tcW w:w="34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contextualSpacing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&lt; 15%</w:t>
                  </w:r>
                </w:p>
              </w:tc>
            </w:tr>
            <w:tr>
              <w:trPr/>
              <w:tc>
                <w:tcPr>
                  <w:tcW w:w="12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spacing w:before="0" w:after="0"/>
                    <w:contextualSpacing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</w: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numPr>
                      <w:ilvl w:val="0"/>
                      <w:numId w:val="1"/>
                    </w:numPr>
                    <w:spacing w:before="0" w:after="0"/>
                    <w:contextualSpacing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moderate</w:t>
                  </w:r>
                </w:p>
              </w:tc>
              <w:tc>
                <w:tcPr>
                  <w:tcW w:w="34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contextualSpacing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15%-30%</w:t>
                  </w:r>
                </w:p>
              </w:tc>
            </w:tr>
            <w:tr>
              <w:trPr/>
              <w:tc>
                <w:tcPr>
                  <w:tcW w:w="12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spacing w:before="0" w:after="0"/>
                    <w:contextualSpacing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</w: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numPr>
                      <w:ilvl w:val="0"/>
                      <w:numId w:val="1"/>
                    </w:numPr>
                    <w:spacing w:before="0" w:after="0"/>
                    <w:contextualSpacing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severe</w:t>
                  </w:r>
                </w:p>
              </w:tc>
              <w:tc>
                <w:tcPr>
                  <w:tcW w:w="34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contextualSpacing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&gt; 30%</w:t>
                  </w:r>
                </w:p>
              </w:tc>
            </w:tr>
            <w:tr>
              <w:trPr/>
              <w:tc>
                <w:tcPr>
                  <w:tcW w:w="12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contextualSpacing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V</w:t>
                  </w: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contextualSpacing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A, B, or C</w:t>
                  </w:r>
                </w:p>
              </w:tc>
              <w:tc>
                <w:tcPr>
                  <w:tcW w:w="34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contextualSpacing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Average of femoral involvement, as determined in stage IV, and estimated acetabular involvement</w:t>
                  </w:r>
                </w:p>
              </w:tc>
            </w:tr>
          </w:tbl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Participant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Style w:val="DefaultChar"/>
                <w:sz w:val="22"/>
                <w:szCs w:val="22"/>
              </w:rPr>
            </w:pPr>
            <w:r>
              <w:rPr>
                <w:rStyle w:val="DefaultChar"/>
                <w:sz w:val="22"/>
                <w:szCs w:val="22"/>
              </w:rPr>
              <w:t xml:space="preserve">Imaging of more than 1,000 hips affected with AVN were reviewed. 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/>
            </w:pPr>
            <w:r>
              <w:rPr>
                <w:rFonts w:cs="Arial" w:ascii="Arial" w:hAnsi="Arial"/>
                <w:b/>
                <w:sz w:val="22"/>
                <w:szCs w:val="22"/>
              </w:rPr>
              <w:t>Source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Steinberg, M. E., Hayken, G. D., &amp; Steinberg, D. R. (1995). A quantitative system for staging avascular necrosis. </w:t>
            </w:r>
            <w:r>
              <w:rPr>
                <w:rFonts w:cs="Arial" w:ascii="Arial" w:hAnsi="Arial"/>
                <w:i/>
                <w:iCs/>
                <w:sz w:val="22"/>
                <w:szCs w:val="22"/>
              </w:rPr>
              <w:t>Journal of Bone and Joint Surgery British Volume</w:t>
            </w:r>
            <w:r>
              <w:rPr>
                <w:rFonts w:cs="Arial" w:ascii="Arial" w:hAnsi="Arial"/>
                <w:sz w:val="22"/>
                <w:szCs w:val="22"/>
              </w:rPr>
              <w:t>, 77-B(1), 34–41.</w:t>
            </w:r>
            <w:r>
              <w:rPr/>
              <w:t xml:space="preserve"> </w:t>
            </w:r>
            <w:hyperlink r:id="rId2">
              <w:r>
                <w:rPr>
                  <w:rStyle w:val="InternetLink"/>
                  <w:rFonts w:cs="Arial" w:ascii="Arial" w:hAnsi="Arial"/>
                  <w:sz w:val="22"/>
                  <w:szCs w:val="22"/>
                </w:rPr>
                <w:t>https://doi.org/10.1302/0301-620X.77B1.7822393</w:t>
              </w:r>
            </w:hyperlink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Language of Source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English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Personnel and Training Required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Style w:val="DefaultChar"/>
                <w:sz w:val="22"/>
                <w:szCs w:val="22"/>
              </w:rPr>
            </w:pPr>
            <w:r>
              <w:rPr>
                <w:rStyle w:val="DefaultChar"/>
                <w:sz w:val="22"/>
                <w:szCs w:val="22"/>
              </w:rPr>
              <w:t>Clinicians should be trained in interpreting radiographs and MRIs.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Equipment Needs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Style w:val="DefaultChar"/>
                <w:sz w:val="22"/>
                <w:szCs w:val="22"/>
              </w:rPr>
            </w:pPr>
            <w:r>
              <w:rPr>
                <w:rStyle w:val="DefaultChar"/>
                <w:sz w:val="22"/>
                <w:szCs w:val="22"/>
              </w:rPr>
              <w:t xml:space="preserve">None  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Protocol Type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Clinical Examination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/>
            </w:pPr>
            <w:r>
              <w:rPr>
                <w:rFonts w:cs="Arial" w:ascii="Arial" w:hAnsi="Arial"/>
                <w:b/>
                <w:sz w:val="22"/>
                <w:szCs w:val="22"/>
              </w:rPr>
              <w:t>General References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color w:val="212121"/>
                <w:sz w:val="22"/>
                <w:szCs w:val="22"/>
                <w:shd w:fill="FFFFFF" w:val="clear"/>
              </w:rPr>
            </w:pPr>
            <w:r>
              <w:rPr>
                <w:rFonts w:cs="Arial" w:ascii="Arial" w:hAnsi="Arial"/>
                <w:color w:val="212121"/>
                <w:sz w:val="22"/>
                <w:szCs w:val="22"/>
                <w:shd w:fill="FFFFFF" w:val="clear"/>
              </w:rPr>
              <w:t xml:space="preserve">Hines, J. T., Jo, W-L., Cui, Q., Mont, M. A., Koo, K-H., Cheng, E. Y., Goodman, S. B., Ha, Y-C., Hernigou, P., Jones, L. C., Kim, S-Y., Sakai, T., Sugano, N., Yamamoto, T., Lee, M. S., Zhao, D., Drescher, W., Kim, T-Y., Lee, Y-K., Yoon, B-H., … Park, J-W. (2021). Osteonecrosis of the femoral head: An updated review of ARCO on pathogenesis, staging and treatment. </w:t>
            </w:r>
            <w:r>
              <w:rPr>
                <w:rFonts w:cs="Arial" w:ascii="Arial" w:hAnsi="Arial"/>
                <w:i/>
                <w:iCs/>
                <w:color w:val="212121"/>
                <w:sz w:val="22"/>
                <w:szCs w:val="22"/>
                <w:shd w:fill="FFFFFF" w:val="clear"/>
              </w:rPr>
              <w:t>Journal of Korean Medical Science</w:t>
            </w:r>
            <w:r>
              <w:rPr>
                <w:rFonts w:cs="Arial" w:ascii="Arial" w:hAnsi="Arial"/>
                <w:color w:val="212121"/>
                <w:sz w:val="22"/>
                <w:szCs w:val="22"/>
                <w:shd w:fill="FFFFFF" w:val="clear"/>
              </w:rPr>
              <w:t xml:space="preserve">, </w:t>
            </w:r>
            <w:r>
              <w:rPr>
                <w:rFonts w:cs="Arial" w:ascii="Arial" w:hAnsi="Arial"/>
                <w:i/>
                <w:iCs/>
                <w:color w:val="212121"/>
                <w:sz w:val="22"/>
                <w:szCs w:val="22"/>
                <w:shd w:fill="FFFFFF" w:val="clear"/>
              </w:rPr>
              <w:t>36</w:t>
            </w:r>
            <w:r>
              <w:rPr>
                <w:rFonts w:cs="Arial" w:ascii="Arial" w:hAnsi="Arial"/>
                <w:color w:val="212121"/>
                <w:sz w:val="22"/>
                <w:szCs w:val="22"/>
                <w:shd w:fill="FFFFFF" w:val="clear"/>
              </w:rPr>
              <w:t xml:space="preserve">(24), e177. </w:t>
            </w:r>
            <w:hyperlink r:id="rId3">
              <w:r>
                <w:rPr>
                  <w:rStyle w:val="InternetLink"/>
                  <w:rFonts w:cs="Arial" w:ascii="Arial" w:hAnsi="Arial"/>
                  <w:sz w:val="22"/>
                  <w:szCs w:val="22"/>
                  <w:shd w:fill="FFFFFF" w:val="clear"/>
                </w:rPr>
                <w:t>https://doi.org/10.3346/jkms.2021.36.e177</w:t>
              </w:r>
            </w:hyperlink>
            <w:r>
              <w:rPr>
                <w:rFonts w:cs="Arial" w:ascii="Arial" w:hAnsi="Arial"/>
                <w:color w:val="212121"/>
                <w:sz w:val="22"/>
                <w:szCs w:val="22"/>
                <w:shd w:fill="FFFFFF" w:val="clear"/>
              </w:rPr>
              <w:t xml:space="preserve"> </w:t>
            </w:r>
          </w:p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color w:val="212121"/>
                <w:sz w:val="22"/>
                <w:szCs w:val="22"/>
                <w:shd w:fill="FFFFFF" w:val="clear"/>
              </w:rPr>
            </w:pPr>
            <w:r>
              <w:rPr>
                <w:rFonts w:cs="Arial" w:ascii="Arial" w:hAnsi="Arial"/>
                <w:color w:val="212121"/>
                <w:sz w:val="22"/>
                <w:szCs w:val="22"/>
                <w:shd w:fill="FFFFFF" w:val="clear"/>
              </w:rPr>
            </w:r>
          </w:p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color w:val="212121"/>
                <w:sz w:val="22"/>
                <w:szCs w:val="22"/>
                <w:shd w:fill="FFFFFF" w:val="clear"/>
              </w:rPr>
            </w:pPr>
            <w:r>
              <w:rPr>
                <w:rFonts w:cs="Arial" w:ascii="Arial" w:hAnsi="Arial"/>
                <w:color w:val="212121"/>
                <w:sz w:val="22"/>
                <w:szCs w:val="22"/>
                <w:shd w:fill="FFFFFF" w:val="clear"/>
              </w:rPr>
              <w:t xml:space="preserve">Rayes, J., &amp; Wong, I. (2021). Arthroscopic approach to preservation of the hip with avascular necrosis. </w:t>
            </w:r>
            <w:r>
              <w:rPr>
                <w:rFonts w:cs="Arial" w:ascii="Arial" w:hAnsi="Arial"/>
                <w:i/>
                <w:iCs/>
                <w:color w:val="212121"/>
                <w:sz w:val="22"/>
                <w:szCs w:val="22"/>
                <w:shd w:fill="FFFFFF" w:val="clear"/>
              </w:rPr>
              <w:t>Arthroscopy Techniques</w:t>
            </w:r>
            <w:r>
              <w:rPr>
                <w:rFonts w:cs="Arial" w:ascii="Arial" w:hAnsi="Arial"/>
                <w:color w:val="212121"/>
                <w:sz w:val="22"/>
                <w:szCs w:val="22"/>
                <w:shd w:fill="FFFFFF" w:val="clear"/>
              </w:rPr>
              <w:t xml:space="preserve">, </w:t>
            </w:r>
            <w:r>
              <w:rPr>
                <w:rFonts w:cs="Arial" w:ascii="Arial" w:hAnsi="Arial"/>
                <w:i/>
                <w:iCs/>
                <w:color w:val="212121"/>
                <w:sz w:val="22"/>
                <w:szCs w:val="22"/>
                <w:shd w:fill="FFFFFF" w:val="clear"/>
              </w:rPr>
              <w:t>10</w:t>
            </w:r>
            <w:r>
              <w:rPr>
                <w:rFonts w:cs="Arial" w:ascii="Arial" w:hAnsi="Arial"/>
                <w:color w:val="212121"/>
                <w:sz w:val="22"/>
                <w:szCs w:val="22"/>
                <w:shd w:fill="FFFFFF" w:val="clear"/>
              </w:rPr>
              <w:t xml:space="preserve">(10), e2213–e2220. </w:t>
            </w:r>
            <w:hyperlink r:id="rId4">
              <w:r>
                <w:rPr>
                  <w:rStyle w:val="InternetLink"/>
                  <w:rFonts w:cs="Arial" w:ascii="Arial" w:hAnsi="Arial"/>
                  <w:sz w:val="22"/>
                  <w:szCs w:val="22"/>
                  <w:shd w:fill="FFFFFF" w:val="clear"/>
                </w:rPr>
                <w:t>https://doi.org/10.1016/j.eats.2021.05.025</w:t>
              </w:r>
            </w:hyperlink>
            <w:r>
              <w:rPr>
                <w:rFonts w:cs="Arial" w:ascii="Arial" w:hAnsi="Arial"/>
                <w:color w:val="212121"/>
                <w:sz w:val="22"/>
                <w:szCs w:val="22"/>
                <w:shd w:fill="FFFFFF" w:val="clear"/>
              </w:rPr>
              <w:t xml:space="preserve"> </w:t>
            </w:r>
          </w:p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color w:val="212121"/>
                <w:sz w:val="22"/>
                <w:szCs w:val="22"/>
                <w:shd w:fill="FFFFFF" w:val="clear"/>
              </w:rPr>
            </w:pPr>
            <w:r>
              <w:rPr>
                <w:rFonts w:cs="Arial" w:ascii="Arial" w:hAnsi="Arial"/>
                <w:color w:val="212121"/>
                <w:sz w:val="22"/>
                <w:szCs w:val="22"/>
                <w:shd w:fill="FFFFFF" w:val="clear"/>
              </w:rPr>
            </w:r>
          </w:p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color w:val="212121"/>
                <w:sz w:val="22"/>
                <w:szCs w:val="22"/>
                <w:shd w:fill="FFFFFF" w:val="clear"/>
              </w:rPr>
            </w:pPr>
            <w:r>
              <w:rPr>
                <w:rFonts w:cs="Arial" w:ascii="Arial" w:hAnsi="Arial"/>
                <w:color w:val="212121"/>
                <w:sz w:val="22"/>
                <w:szCs w:val="22"/>
                <w:shd w:fill="FFFFFF" w:val="clear"/>
              </w:rPr>
              <w:t>Sulewski, A., Sieroń, D., Szyluk, K., Dąbrowski, M., Kubaszewski, Ł.,</w:t>
            </w:r>
            <w:r>
              <w:rPr>
                <w:rFonts w:cs="Segoe UI" w:ascii="Segoe UI" w:hAnsi="Segoe UI"/>
                <w:color w:val="212121"/>
                <w:shd w:fill="FFFFFF" w:val="clear"/>
              </w:rPr>
              <w:t xml:space="preserve"> </w:t>
            </w:r>
            <w:r>
              <w:rPr>
                <w:rFonts w:cs="Arial" w:ascii="Arial" w:hAnsi="Arial"/>
                <w:color w:val="212121"/>
                <w:sz w:val="22"/>
                <w:szCs w:val="22"/>
                <w:shd w:fill="FFFFFF" w:val="clear"/>
              </w:rPr>
              <w:t xml:space="preserve">Lukoszek, D., &amp; Christe, A. (2021). Avascular necrosis bone complication after active COVID-19 infection: Preliminary results. </w:t>
            </w:r>
            <w:r>
              <w:rPr>
                <w:rFonts w:cs="Arial" w:ascii="Arial" w:hAnsi="Arial"/>
                <w:i/>
                <w:iCs/>
                <w:color w:val="212121"/>
                <w:sz w:val="22"/>
                <w:szCs w:val="22"/>
                <w:shd w:fill="FFFFFF" w:val="clear"/>
              </w:rPr>
              <w:t>Medicina, 57</w:t>
            </w:r>
            <w:r>
              <w:rPr>
                <w:rFonts w:cs="Arial" w:ascii="Arial" w:hAnsi="Arial"/>
                <w:color w:val="212121"/>
                <w:sz w:val="22"/>
                <w:szCs w:val="22"/>
                <w:shd w:fill="FFFFFF" w:val="clear"/>
              </w:rPr>
              <w:t xml:space="preserve">(12), 1311. </w:t>
            </w:r>
            <w:hyperlink r:id="rId5">
              <w:r>
                <w:rPr>
                  <w:rStyle w:val="InternetLink"/>
                  <w:rFonts w:cs="Arial" w:ascii="Arial" w:hAnsi="Arial"/>
                  <w:sz w:val="22"/>
                  <w:szCs w:val="22"/>
                  <w:shd w:fill="FFFFFF" w:val="clear"/>
                </w:rPr>
                <w:t>https://doi.org/10.3390/medicina57121311</w:t>
              </w:r>
            </w:hyperlink>
            <w:r>
              <w:rPr>
                <w:rFonts w:cs="Arial" w:ascii="Arial" w:hAnsi="Arial"/>
                <w:color w:val="212121"/>
                <w:sz w:val="22"/>
                <w:szCs w:val="22"/>
                <w:shd w:fill="FFFFFF" w:val="clear"/>
              </w:rPr>
              <w:t xml:space="preserve"> </w:t>
            </w:r>
          </w:p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color w:val="212121"/>
                <w:sz w:val="22"/>
                <w:szCs w:val="22"/>
                <w:shd w:fill="FFFFFF" w:val="clear"/>
              </w:rPr>
            </w:pPr>
            <w:r>
              <w:rPr>
                <w:rFonts w:cs="Arial" w:ascii="Arial" w:hAnsi="Arial"/>
                <w:color w:val="212121"/>
                <w:sz w:val="22"/>
                <w:szCs w:val="22"/>
                <w:shd w:fill="FFFFFF" w:val="clear"/>
              </w:rPr>
            </w:r>
          </w:p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color w:val="212121"/>
                <w:sz w:val="22"/>
                <w:szCs w:val="22"/>
                <w:shd w:fill="FFFFFF" w:val="clear"/>
              </w:rPr>
            </w:pPr>
            <w:r>
              <w:rPr>
                <w:rFonts w:cs="Arial" w:ascii="Arial" w:hAnsi="Arial"/>
                <w:color w:val="212121"/>
                <w:sz w:val="22"/>
                <w:szCs w:val="22"/>
                <w:shd w:fill="FFFFFF" w:val="clear"/>
              </w:rPr>
              <w:t xml:space="preserve">Zhao, D., Zhang, F., Wang, B., Liu, B., Li, L., Kim, S-Y., Goodman, S. B., Hernigou, P., Cui, Q., Lineaweaver, W. C., Xu, J., Drescher, W. R., &amp; Qin, L. (2020). Guidelines for clinical diagnosis and treatment of osteonecrosis of the femoral head in adults (2019 version). </w:t>
            </w:r>
            <w:r>
              <w:rPr>
                <w:rFonts w:cs="Arial" w:ascii="Arial" w:hAnsi="Arial"/>
                <w:i/>
                <w:iCs/>
                <w:color w:val="212121"/>
                <w:sz w:val="22"/>
                <w:szCs w:val="22"/>
                <w:shd w:fill="FFFFFF" w:val="clear"/>
              </w:rPr>
              <w:t>Journal of Orthopaedic Translation,</w:t>
            </w:r>
            <w:r>
              <w:rPr>
                <w:rFonts w:cs="Arial" w:ascii="Arial" w:hAnsi="Arial"/>
                <w:color w:val="212121"/>
                <w:sz w:val="22"/>
                <w:szCs w:val="22"/>
                <w:shd w:fill="FFFFFF" w:val="clear"/>
              </w:rPr>
              <w:t xml:space="preserve"> </w:t>
            </w:r>
            <w:r>
              <w:rPr>
                <w:rFonts w:cs="Arial" w:ascii="Arial" w:hAnsi="Arial"/>
                <w:i/>
                <w:iCs/>
                <w:color w:val="212121"/>
                <w:sz w:val="22"/>
                <w:szCs w:val="22"/>
                <w:shd w:fill="FFFFFF" w:val="clear"/>
              </w:rPr>
              <w:t>21</w:t>
            </w:r>
            <w:r>
              <w:rPr>
                <w:rFonts w:cs="Arial" w:ascii="Arial" w:hAnsi="Arial"/>
                <w:color w:val="212121"/>
                <w:sz w:val="22"/>
                <w:szCs w:val="22"/>
                <w:shd w:fill="FFFFFF" w:val="clear"/>
              </w:rPr>
              <w:t xml:space="preserve">, 100–110. </w:t>
            </w:r>
            <w:hyperlink r:id="rId6">
              <w:r>
                <w:rPr>
                  <w:rStyle w:val="InternetLink"/>
                  <w:rFonts w:cs="Arial" w:ascii="Arial" w:hAnsi="Arial"/>
                  <w:sz w:val="22"/>
                  <w:szCs w:val="22"/>
                  <w:shd w:fill="FFFFFF" w:val="clear"/>
                </w:rPr>
                <w:t>https://doi.org/10.1016/j.jot.2019.12.004</w:t>
              </w:r>
            </w:hyperlink>
            <w:r>
              <w:rPr>
                <w:rFonts w:cs="Arial" w:ascii="Arial" w:hAnsi="Arial"/>
                <w:color w:val="212121"/>
                <w:sz w:val="22"/>
                <w:szCs w:val="22"/>
                <w:shd w:fill="FFFFFF" w:val="clear"/>
              </w:rPr>
              <w:t xml:space="preserve"> </w:t>
            </w:r>
          </w:p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color w:val="212121"/>
                <w:sz w:val="22"/>
                <w:szCs w:val="22"/>
                <w:shd w:fill="FFFFFF" w:val="clear"/>
              </w:rPr>
            </w:pPr>
            <w:r>
              <w:rPr>
                <w:rFonts w:cs="Arial" w:ascii="Arial" w:hAnsi="Arial"/>
                <w:color w:val="212121"/>
                <w:sz w:val="22"/>
                <w:szCs w:val="22"/>
                <w:shd w:fill="FFFFFF" w:val="clear"/>
              </w:rPr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/>
            </w:pPr>
            <w:r>
              <w:rPr>
                <w:rFonts w:cs="Arial" w:ascii="Arial" w:hAnsi="Arial"/>
                <w:b/>
                <w:sz w:val="22"/>
                <w:szCs w:val="22"/>
              </w:rPr>
              <w:t>Process and Review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Not applicable. </w:t>
            </w:r>
          </w:p>
        </w:tc>
      </w:tr>
    </w:tbl>
    <w:p>
      <w:pPr>
        <w:pStyle w:val="Normal"/>
        <w:spacing w:before="0" w:after="0"/>
        <w:contextualSpacing/>
        <w:rPr/>
      </w:pPr>
      <w:r>
        <w:rPr/>
      </w:r>
    </w:p>
    <w:sectPr>
      <w:headerReference w:type="default" r:id="rId7"/>
      <w:footerReference w:type="default" r:id="rId8"/>
      <w:type w:val="nextPage"/>
      <w:pgSz w:w="12240" w:h="15840"/>
      <w:pgMar w:left="1296" w:right="1296" w:gutter="0" w:header="720" w:top="776" w:footer="720" w:bottom="1152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/>
    <w:family w:val="swiss"/>
    <w:pitch w:val="variable"/>
  </w:font>
  <w:font w:name="Tahoma">
    <w:charset w:val="00"/>
    <w:family w:val="swiss"/>
    <w:pitch w:val="variable"/>
  </w:font>
  <w:font w:name="Segoe UI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>
        <w:rFonts w:cs="Arial" w:ascii="Arial" w:hAnsi="Arial"/>
        <w:b/>
        <w:sz w:val="20"/>
        <w:szCs w:val="20"/>
      </w:rPr>
      <w:t>PhenX Toolkit Supplemental Information</w:t>
    </w:r>
  </w:p>
  <w:p>
    <w:pPr>
      <w:pStyle w:val="Normal"/>
      <w:jc w:val="center"/>
      <w:rPr/>
    </w:pPr>
    <w:r>
      <w:rPr>
        <w:rFonts w:cs="Arial" w:ascii="Arial" w:hAnsi="Arial"/>
        <w:b/>
        <w:sz w:val="20"/>
        <w:szCs w:val="20"/>
      </w:rPr>
      <w:t>[Femoral head Avascular Necrosis (AVN)]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Arial" w:hAnsi="Arial" w:cs="Arial"/>
        <w:b/>
        <w:b/>
        <w:sz w:val="20"/>
        <w:szCs w:val="20"/>
      </w:rPr>
    </w:pPr>
    <w:r>
      <w:rPr>
        <w:rFonts w:cs="Arial" w:ascii="Arial" w:hAnsi="Arial"/>
        <w:b/>
        <w:sz w:val="20"/>
        <w:szCs w:val="20"/>
      </w:rPr>
      <w:t>PhenX Toolkit Supplemental Information</w:t>
      <w:tab/>
      <w:tab/>
      <w:tab/>
      <w:tab/>
    </w:r>
  </w:p>
  <w:p>
    <w:pPr>
      <w:pStyle w:val="Normal"/>
      <w:rPr>
        <w:rFonts w:ascii="Arial" w:hAnsi="Arial" w:cs="Arial"/>
        <w:b/>
        <w:b/>
        <w:sz w:val="20"/>
        <w:szCs w:val="20"/>
      </w:rPr>
    </w:pPr>
    <w:r>
      <w:rPr>
        <w:rFonts w:cs="Arial" w:ascii="Arial" w:hAnsi="Arial"/>
        <w:b/>
        <w:sz w:val="20"/>
        <w:szCs w:val="20"/>
      </w:rPr>
      <w:t>Domain: Bone &amp; Joint</w:t>
    </w:r>
  </w:p>
  <w:p>
    <w:pPr>
      <w:pStyle w:val="Normal"/>
      <w:rPr/>
    </w:pPr>
    <w:r>
      <w:rPr>
        <w:rFonts w:cs="Arial" w:ascii="Arial" w:hAnsi="Arial"/>
        <w:b/>
        <w:sz w:val="20"/>
        <w:szCs w:val="20"/>
      </w:rPr>
      <w:t>Release Date:</w:t>
      <w:tab/>
    </w:r>
  </w:p>
  <w:p>
    <w:pPr>
      <w:pStyle w:val="Normal"/>
      <w:rPr/>
    </w:pPr>
    <w:r>
      <w:rPr>
        <w:rFonts w:cs="Arial" w:ascii="Arial" w:hAnsi="Arial"/>
        <w:b/>
        <w:bCs/>
        <w:sz w:val="20"/>
        <w:szCs w:val="20"/>
      </w:rPr>
      <w:t>[Femoral head avascular necrosis (AVN)]</w:t>
    </w:r>
    <w:r>
      <w:rPr>
        <w:rFonts w:cs="Arial" w:ascii="Arial" w:hAnsi="Arial"/>
        <w:b/>
        <w:sz w:val="20"/>
        <w:szCs w:val="20"/>
      </w:rPr>
      <w:tab/>
      <w:tab/>
      <w:tab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/>
    </w:lvl>
  </w:abstractNum>
  <w:abstractNum w:abstractNumId="2"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/>
    </w:lvl>
  </w:abstractNum>
  <w:abstractNum w:abstractNumId="3"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/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InternetLink">
    <w:name w:val="Hyperlink"/>
    <w:rPr>
      <w:color w:val="0000FF"/>
      <w:u w:val="single"/>
    </w:rPr>
  </w:style>
  <w:style w:type="character" w:styleId="VisitedInternetLink">
    <w:name w:val="FollowedHyperlink"/>
    <w:rPr>
      <w:color w:val="800080"/>
      <w:u w:val="single"/>
    </w:rPr>
  </w:style>
  <w:style w:type="character" w:styleId="CommentReference">
    <w:name w:val="Comment Reference"/>
    <w:qFormat/>
    <w:rPr>
      <w:sz w:val="16"/>
      <w:szCs w:val="16"/>
    </w:rPr>
  </w:style>
  <w:style w:type="character" w:styleId="StrongEmphasis">
    <w:name w:val="Strong Emphasis"/>
    <w:qFormat/>
    <w:rPr>
      <w:b/>
      <w:bCs/>
    </w:rPr>
  </w:style>
  <w:style w:type="character" w:styleId="HeaderChar">
    <w:name w:val="Header Char"/>
    <w:qFormat/>
    <w:rPr>
      <w:sz w:val="24"/>
      <w:szCs w:val="24"/>
    </w:rPr>
  </w:style>
  <w:style w:type="character" w:styleId="DefaultChar">
    <w:name w:val="Default Char"/>
    <w:qFormat/>
    <w:rPr>
      <w:rFonts w:ascii="Arial" w:hAnsi="Arial" w:cs="Arial"/>
      <w:color w:val="000000"/>
      <w:sz w:val="24"/>
      <w:szCs w:val="24"/>
      <w:lang w:val="en-US" w:bidi="ar-SA"/>
    </w:rPr>
  </w:style>
  <w:style w:type="character" w:styleId="CommentTextChar">
    <w:name w:val="Comment Text Char"/>
    <w:basedOn w:val="DefaultParagraphFont"/>
    <w:qFormat/>
    <w:rPr/>
  </w:style>
  <w:style w:type="character" w:styleId="UnresolvedMention">
    <w:name w:val="Unresolved Mention"/>
    <w:qFormat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CommentText">
    <w:name w:val="Comment Text"/>
    <w:basedOn w:val="Normal"/>
    <w:qFormat/>
    <w:pPr/>
    <w:rPr>
      <w:sz w:val="20"/>
      <w:szCs w:val="20"/>
    </w:rPr>
  </w:style>
  <w:style w:type="paragraph" w:styleId="CommentSubject">
    <w:name w:val="Comment Subject"/>
    <w:basedOn w:val="CommentText"/>
    <w:next w:val="CommentText"/>
    <w:qFormat/>
    <w:pPr/>
    <w:rPr>
      <w:b/>
      <w:bCs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Default">
    <w:name w:val="Default"/>
    <w:qFormat/>
    <w:pPr>
      <w:widowControl/>
      <w:autoSpaceDE w:val="false"/>
      <w:bidi w:val="0"/>
    </w:pPr>
    <w:rPr>
      <w:rFonts w:ascii="Arial" w:hAnsi="Arial" w:eastAsia="Times New Roman" w:cs="Arial"/>
      <w:color w:val="000000"/>
      <w:sz w:val="24"/>
      <w:szCs w:val="24"/>
      <w:lang w:val="en-US" w:bidi="ar-SA" w:eastAsia="zh-CN"/>
    </w:rPr>
  </w:style>
  <w:style w:type="paragraph" w:styleId="Revision">
    <w:name w:val="Revision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doi.org/10.1302/0301-620X.77B1.7822393" TargetMode="External"/><Relationship Id="rId3" Type="http://schemas.openxmlformats.org/officeDocument/2006/relationships/hyperlink" Target="https://doi.org/10.3346/jkms.2021.36.e177" TargetMode="External"/><Relationship Id="rId4" Type="http://schemas.openxmlformats.org/officeDocument/2006/relationships/hyperlink" Target="https://doi.org/10.1016/j.eats.2021.05.025" TargetMode="External"/><Relationship Id="rId5" Type="http://schemas.openxmlformats.org/officeDocument/2006/relationships/hyperlink" Target="https://doi.org/10.3390/medicina57121311" TargetMode="External"/><Relationship Id="rId6" Type="http://schemas.openxmlformats.org/officeDocument/2006/relationships/hyperlink" Target="https://doi.org/10.1016/j.jot.2019.12.004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LibreOffice/7.3.7.2$Linux_X86_64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2022-07-15T14:24:00Z</dcterms:created>
  <dc:creator>whuggins</dc:creator>
  <dc:description/>
  <cp:keywords/>
  <dc:language>en-US</dc:language>
  <cp:lastModifiedBy>Williams, David</cp:lastModifiedBy>
  <cp:lastPrinted>2009-03-24T15:13:00Z</cp:lastPrinted>
  <dcterms:modified xsi:type="dcterms:W3CDTF">2022-08-24T13:40:00Z</dcterms:modified>
  <cp:revision>3</cp:revision>
  <dc:subject/>
  <dc:title/>
</cp:coreProperties>
</file>