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Skin, Bone, Muscle and Joint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color w:val="000000"/>
                <w:sz w:val="22"/>
                <w:szCs w:val="22"/>
              </w:rPr>
              <w:t>Modified Stoke Ankylosing Spondylitis Spinal Score (mSASSS)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is a radiographic scoring protocol to monitor progression of ankylosing spondylitis.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modified Stoke Ankylosing Spondylitis Spinal Score (mSASSS) is a four-point scoring system for lateral radiographs of the lumbar and cervical spine and has been shown to reliably track disease progression over time (Creemers et al., 2005). This protocol does not include instructions for performing the radiograph.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color w:val="000000"/>
                <w:sz w:val="22"/>
                <w:szCs w:val="22"/>
              </w:rPr>
            </w:pPr>
            <w:r>
              <w:rPr>
                <w:rFonts w:cs="Arial" w:ascii="Arial" w:hAnsi="Arial"/>
                <w:b/>
                <w:bCs/>
                <w:sz w:val="22"/>
                <w:szCs w:val="22"/>
              </w:rPr>
              <w:t xml:space="preserve">Modified </w:t>
            </w:r>
            <w:r>
              <w:rPr>
                <w:rFonts w:cs="Arial" w:ascii="Arial" w:hAnsi="Arial"/>
                <w:b/>
                <w:bCs/>
                <w:color w:val="000000"/>
                <w:sz w:val="22"/>
                <w:szCs w:val="22"/>
              </w:rPr>
              <w:t>Stoke Ankylosing Spondylitis Spinal Score (mSASSS)</w:t>
            </w:r>
          </w:p>
          <w:p>
            <w:pPr>
              <w:pStyle w:val="Normal"/>
              <w:rPr/>
            </w:pPr>
            <w:r>
              <w:rPr>
                <w:rFonts w:cs="Arial" w:ascii="Arial" w:hAnsi="Arial"/>
                <w:sz w:val="22"/>
                <w:szCs w:val="22"/>
              </w:rPr>
              <w:t xml:space="preserve">Once the radiograph(s) is obtained, the PhenX Skin, Bone, Muscle and Joint Working Group recommends that the modified </w:t>
            </w:r>
            <w:r>
              <w:rPr>
                <w:rFonts w:cs="Arial" w:ascii="Arial" w:hAnsi="Arial"/>
                <w:color w:val="000000"/>
                <w:sz w:val="22"/>
                <w:szCs w:val="22"/>
              </w:rPr>
              <w:t xml:space="preserve">Stoke Ankylosing Spondylitis Spinal Score (mSASSS) </w:t>
            </w:r>
            <w:r>
              <w:rPr>
                <w:rFonts w:cs="Arial" w:ascii="Arial" w:hAnsi="Arial"/>
                <w:sz w:val="22"/>
                <w:szCs w:val="22"/>
                <w:lang w:val="en"/>
              </w:rPr>
              <w:t>be performed by a radiologist</w:t>
            </w:r>
            <w:r>
              <w:rPr>
                <w:rFonts w:cs="Arial" w:ascii="Arial" w:hAnsi="Arial"/>
                <w:sz w:val="22"/>
                <w:szCs w:val="22"/>
              </w:rPr>
              <w:t xml:space="preserve">. </w:t>
            </w:r>
          </w:p>
          <w:p>
            <w:pPr>
              <w:pStyle w:val="Normal"/>
              <w:autoSpaceDE w:val="false"/>
              <w:rPr>
                <w:rFonts w:ascii="Arial" w:hAnsi="Arial" w:cs="Arial"/>
                <w:sz w:val="22"/>
                <w:szCs w:val="22"/>
              </w:rPr>
            </w:pPr>
            <w:r>
              <w:rPr>
                <w:rFonts w:cs="Arial" w:ascii="Arial" w:hAnsi="Arial"/>
                <w:sz w:val="22"/>
                <w:szCs w:val="22"/>
              </w:rPr>
            </w:r>
          </w:p>
          <w:tbl>
            <w:tblPr>
              <w:tblW w:w="4441" w:type="dxa"/>
              <w:jc w:val="left"/>
              <w:tblInd w:w="0" w:type="dxa"/>
              <w:tblLayout w:type="fixed"/>
              <w:tblCellMar>
                <w:top w:w="0" w:type="dxa"/>
                <w:left w:w="108" w:type="dxa"/>
                <w:bottom w:w="0" w:type="dxa"/>
                <w:right w:w="108" w:type="dxa"/>
              </w:tblCellMar>
            </w:tblPr>
            <w:tblGrid>
              <w:gridCol w:w="931"/>
              <w:gridCol w:w="3510"/>
            </w:tblGrid>
            <w:tr>
              <w:trPr/>
              <w:tc>
                <w:tcPr>
                  <w:tcW w:w="931" w:type="dxa"/>
                  <w:tcBorders>
                    <w:top w:val="single" w:sz="4" w:space="0" w:color="000000"/>
                    <w:left w:val="single" w:sz="4" w:space="0" w:color="000000"/>
                    <w:bottom w:val="single" w:sz="4" w:space="0" w:color="000000"/>
                    <w:right w:val="single" w:sz="4" w:space="0" w:color="000000"/>
                  </w:tcBorders>
                  <w:shd w:fill="EEECE1" w:val="clear"/>
                </w:tcPr>
                <w:p>
                  <w:pPr>
                    <w:pStyle w:val="Normal"/>
                    <w:autoSpaceDE w:val="false"/>
                    <w:rPr>
                      <w:rFonts w:ascii="Arial" w:hAnsi="Arial" w:cs="Arial"/>
                      <w:sz w:val="22"/>
                      <w:szCs w:val="22"/>
                    </w:rPr>
                  </w:pPr>
                  <w:r>
                    <w:rPr>
                      <w:rFonts w:cs="Arial" w:ascii="Arial" w:hAnsi="Arial"/>
                      <w:sz w:val="22"/>
                      <w:szCs w:val="22"/>
                    </w:rPr>
                    <w:t>Score</w:t>
                  </w:r>
                </w:p>
              </w:tc>
              <w:tc>
                <w:tcPr>
                  <w:tcW w:w="3510" w:type="dxa"/>
                  <w:tcBorders>
                    <w:top w:val="single" w:sz="4" w:space="0" w:color="000000"/>
                    <w:left w:val="single" w:sz="4" w:space="0" w:color="000000"/>
                    <w:bottom w:val="single" w:sz="4" w:space="0" w:color="000000"/>
                    <w:right w:val="single" w:sz="4" w:space="0" w:color="000000"/>
                  </w:tcBorders>
                  <w:shd w:fill="EEECE1" w:val="clear"/>
                </w:tcPr>
                <w:p>
                  <w:pPr>
                    <w:pStyle w:val="Normal"/>
                    <w:autoSpaceDE w:val="false"/>
                    <w:rPr/>
                  </w:pPr>
                  <w:r>
                    <w:rPr>
                      <w:rFonts w:cs="Arial" w:ascii="Arial" w:hAnsi="Arial"/>
                      <w:sz w:val="22"/>
                      <w:szCs w:val="22"/>
                    </w:rPr>
                    <w:t xml:space="preserve">Description </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0</w:t>
                  </w:r>
                </w:p>
              </w:tc>
              <w:tc>
                <w:tcPr>
                  <w:tcW w:w="3510"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No abnormality</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1</w:t>
                  </w:r>
                </w:p>
              </w:tc>
              <w:tc>
                <w:tcPr>
                  <w:tcW w:w="3510"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Erosion, sclerosis, or squaring</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2</w:t>
                  </w:r>
                </w:p>
              </w:tc>
              <w:tc>
                <w:tcPr>
                  <w:tcW w:w="3510"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Syndesmophyte</w:t>
                  </w:r>
                </w:p>
              </w:tc>
            </w:tr>
            <w:tr>
              <w:trPr/>
              <w:tc>
                <w:tcPr>
                  <w:tcW w:w="93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3</w:t>
                  </w:r>
                </w:p>
              </w:tc>
              <w:tc>
                <w:tcPr>
                  <w:tcW w:w="3510"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Total bony bridging at each site</w:t>
                  </w:r>
                </w:p>
              </w:tc>
            </w:tr>
          </w:tbl>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color w:val="231F20"/>
                <w:sz w:val="22"/>
                <w:szCs w:val="22"/>
              </w:rPr>
            </w:pPr>
            <w:r>
              <w:rPr>
                <w:rFonts w:cs="Arial" w:ascii="Arial" w:hAnsi="Arial"/>
                <w:b/>
                <w:bCs/>
                <w:color w:val="231F20"/>
                <w:sz w:val="22"/>
                <w:szCs w:val="22"/>
              </w:rPr>
              <w:t>Scoring the Lumbar Spine</w:t>
            </w:r>
          </w:p>
          <w:p>
            <w:pPr>
              <w:pStyle w:val="Normal"/>
              <w:autoSpaceDE w:val="false"/>
              <w:rPr/>
            </w:pPr>
            <w:r>
              <w:rPr>
                <w:rFonts w:cs="Arial" w:ascii="Arial" w:hAnsi="Arial"/>
                <w:sz w:val="22"/>
                <w:szCs w:val="22"/>
              </w:rPr>
              <w:t>The scoring system is applied to the lower border of the 12</w:t>
            </w:r>
            <w:r>
              <w:rPr>
                <w:rFonts w:cs="Arial" w:ascii="Arial" w:hAnsi="Arial"/>
                <w:sz w:val="22"/>
                <w:szCs w:val="22"/>
                <w:vertAlign w:val="superscript"/>
              </w:rPr>
              <w:t>th</w:t>
            </w:r>
            <w:r>
              <w:rPr>
                <w:rFonts w:cs="Arial" w:ascii="Arial" w:hAnsi="Arial"/>
                <w:sz w:val="22"/>
                <w:szCs w:val="22"/>
              </w:rPr>
              <w:t xml:space="preserve"> thoracic vertebra, all five lumbar vertebrae, and the upper border of the sacrum. Sites that have radiological abnormalities or that are not clearly visible are not scored. A total score is obtained by multiplying the mean score of all scored sites by 12 (highest possible score is 36).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Scoring the Cervical Spine</w:t>
            </w:r>
          </w:p>
          <w:p>
            <w:pPr>
              <w:pStyle w:val="Normal"/>
              <w:autoSpaceDE w:val="false"/>
              <w:rPr>
                <w:rFonts w:ascii="Arial" w:hAnsi="Arial" w:cs="Arial"/>
                <w:sz w:val="22"/>
                <w:szCs w:val="22"/>
              </w:rPr>
            </w:pPr>
            <w:r>
              <w:rPr>
                <w:rFonts w:cs="Arial" w:ascii="Arial" w:hAnsi="Arial"/>
                <w:sz w:val="22"/>
                <w:szCs w:val="22"/>
              </w:rPr>
              <w:t>The scoring system is applied to the 2</w:t>
            </w:r>
            <w:r>
              <w:rPr>
                <w:rFonts w:cs="Arial" w:ascii="Arial" w:hAnsi="Arial"/>
                <w:sz w:val="22"/>
                <w:szCs w:val="22"/>
                <w:vertAlign w:val="superscript"/>
              </w:rPr>
              <w:t>nd</w:t>
            </w:r>
            <w:r>
              <w:rPr>
                <w:rFonts w:cs="Arial" w:ascii="Arial" w:hAnsi="Arial"/>
                <w:sz w:val="22"/>
                <w:szCs w:val="22"/>
              </w:rPr>
              <w:t xml:space="preserve"> cervical vertebra through the upper border of the 1</w:t>
            </w:r>
            <w:r>
              <w:rPr>
                <w:rFonts w:cs="Arial" w:ascii="Arial" w:hAnsi="Arial"/>
                <w:sz w:val="22"/>
                <w:szCs w:val="22"/>
                <w:vertAlign w:val="superscript"/>
              </w:rPr>
              <w:t>st</w:t>
            </w:r>
            <w:r>
              <w:rPr>
                <w:rFonts w:cs="Arial" w:ascii="Arial" w:hAnsi="Arial"/>
                <w:sz w:val="22"/>
                <w:szCs w:val="22"/>
              </w:rPr>
              <w:t xml:space="preserve"> thoracic vertebra. Sites that have radiological abnormalities or that are not clearly visible are not scored. A total score is obtained by multiplying the mean score of all scored sites by 12 (highest possible score is 36).</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Scoring Changes Over Time</w:t>
            </w:r>
          </w:p>
          <w:p>
            <w:pPr>
              <w:pStyle w:val="Normal"/>
              <w:spacing w:before="0" w:after="0"/>
              <w:contextualSpacing/>
              <w:rPr>
                <w:rFonts w:ascii="Arial" w:hAnsi="Arial" w:cs="Arial"/>
                <w:sz w:val="22"/>
                <w:szCs w:val="22"/>
              </w:rPr>
            </w:pPr>
            <w:r>
              <w:rPr>
                <w:rFonts w:cs="Arial" w:ascii="Arial" w:hAnsi="Arial"/>
                <w:sz w:val="22"/>
                <w:szCs w:val="22"/>
              </w:rPr>
              <w:t xml:space="preserve">To monitor disease progression, the modified </w:t>
            </w:r>
            <w:r>
              <w:rPr>
                <w:rFonts w:cs="Arial" w:ascii="Arial" w:hAnsi="Arial"/>
                <w:color w:val="000000"/>
                <w:sz w:val="22"/>
                <w:szCs w:val="22"/>
              </w:rPr>
              <w:t>Stoke Ankylosing Spondylitis Spinal Score can be used on lateral radiographs of the lumbar and cervical spine taken 48 weeks apart.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All ages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 xml:space="preserve">Creemers, M. C. W., Franssen, M. J. A. M., van’t Hof, M. A., Gribnau, F. W. J., van de Putte, L. B. A., &amp; van Riel, P. L. C. M. (2005). </w:t>
            </w:r>
            <w:r>
              <w:rPr>
                <w:rFonts w:cs="Arial" w:ascii="Arial" w:hAnsi="Arial"/>
                <w:i/>
                <w:iCs/>
                <w:sz w:val="22"/>
                <w:szCs w:val="22"/>
              </w:rPr>
              <w:t>Annals of Rheumatic Disease, 64,</w:t>
            </w:r>
            <w:r>
              <w:rPr>
                <w:rFonts w:cs="Arial" w:ascii="Arial" w:hAnsi="Arial"/>
                <w:sz w:val="22"/>
                <w:szCs w:val="22"/>
              </w:rPr>
              <w:t>127–129.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A trained x-ray technician is required to administer the radiograph, and radiographs (x-rays) must be interpreted (“read”) by a trained radiologist.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investigator will need a conventional or digital x-ray machine and related standard implementation equipment, such as lead vests for patients. Additionally, the investigator will need standard equipment for viewing radiographs (e.g., illumination box).</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Noninvasive radiologic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color w:val="131413"/>
                <w:sz w:val="22"/>
                <w:szCs w:val="22"/>
              </w:rPr>
              <w:t>None</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Modified Stoke Ankylosing Spondylitis Spinal Score (mSASSS)</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Skin, Bone, Muscle and Joint</w:t>
    </w:r>
  </w:p>
  <w:p>
    <w:pPr>
      <w:pStyle w:val="Normal"/>
      <w:rPr>
        <w:rFonts w:ascii="Arial" w:hAnsi="Arial" w:cs="Arial"/>
        <w:b/>
        <w:b/>
        <w:sz w:val="20"/>
        <w:szCs w:val="20"/>
      </w:rPr>
    </w:pPr>
    <w:r>
      <w:rPr>
        <w:rFonts w:cs="Arial" w:ascii="Arial" w:hAnsi="Arial"/>
        <w:b/>
        <w:sz w:val="20"/>
        <w:szCs w:val="20"/>
      </w:rPr>
      <w:t>Release Date: January 21, 2011</w:t>
    </w:r>
  </w:p>
  <w:p>
    <w:pPr>
      <w:pStyle w:val="Normal"/>
      <w:rPr/>
    </w:pPr>
    <w:r>
      <w:rPr>
        <w:rFonts w:cs="Arial" w:ascii="Arial" w:hAnsi="Arial"/>
        <w:b/>
        <w:sz w:val="20"/>
        <w:szCs w:val="20"/>
      </w:rPr>
      <w:t>Modified Stoke Ankylosing Spondylitis Spinal Score (mSASSS)</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2011-10-10T13:22:00Z</dcterms:modified>
  <cp:revision>10</cp:revision>
  <dc:subject/>
  <dc:title/>
</cp:coreProperties>
</file>