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0"/>
        <w:gridCol w:w="7760"/>
      </w:tblGrid>
      <w:tr w:rsidR="00900682" w:rsidRPr="0033673D">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7"/>
                <w:szCs w:val="27"/>
              </w:rPr>
            </w:pPr>
            <w:r w:rsidRPr="0033673D">
              <w:rPr>
                <w:rStyle w:val="Strong"/>
                <w:rFonts w:ascii="Trebuchet MS" w:hAnsi="Trebuchet MS"/>
                <w:sz w:val="27"/>
                <w:szCs w:val="27"/>
              </w:rPr>
              <w:t>Pulse Oximetry (Rest)</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91101</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A trained technician places a sensor on a thin part of the patient's body, usually a fingertip or earlobe, to monitor the oxygenation of the patient's hemoglobin.</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None</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 PROCEDURE: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Pulse Oximetry (SpO2)</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2.0 DESCRIPTION/DEFINITION:</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Pulse oximetry provides estimates of arterial oxyhemoglobin saturation (SaO2) by utilizing selected wavelengths of light to noninvasively determine the saturation of oxyhemoglobin (SpO2).</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3.0 SETTING:</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Pulse oximetry may be performed by trained personnel in a variety of settings including (but not limited to) hospitals, clinics, and the home.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4.0 INDICATIONS: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4.1</w:t>
            </w:r>
            <w:r w:rsidRPr="0033673D">
              <w:rPr>
                <w:rFonts w:ascii="Trebuchet MS" w:hAnsi="Trebuchet MS"/>
                <w:sz w:val="21"/>
                <w:szCs w:val="21"/>
              </w:rPr>
              <w:t> The need to monitor the adequacy of arterial oxyhemoglobin saturation.</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4.2</w:t>
            </w:r>
            <w:r w:rsidRPr="0033673D">
              <w:rPr>
                <w:rFonts w:ascii="Trebuchet MS" w:hAnsi="Trebuchet MS"/>
                <w:sz w:val="21"/>
                <w:szCs w:val="21"/>
              </w:rPr>
              <w:t> The need to quantitate the response of arterial oxyhemoglobin saturation to therapeutic intervention or to a diagnostic procedure (e.g., bronchoscopy).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4.3</w:t>
            </w:r>
            <w:r w:rsidRPr="0033673D">
              <w:rPr>
                <w:rFonts w:ascii="Trebuchet MS" w:hAnsi="Trebuchet MS"/>
                <w:sz w:val="21"/>
                <w:szCs w:val="21"/>
              </w:rPr>
              <w:t> The need to comply with mandated regulations or recommendations by authoritative groups.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5.0 CONTRAINDICATIONS: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The presence of an ongoing need for measurement of pH, PaCO2 (symbol for partial pressure of carbon dioxide in the arterial blood), total hemoglobin, and abnormal hemoglobins may be a relative contraindication to pulse oximetry.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6.0 HAZARDS/COMPLICATIONS: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Pulse oximetry is considered a safe procedure, but because of device limitations, false-negative results for hypoxemia and/or false-positive results for normoxemia or hyperoxemia may lead to inappropriate treatment of the patient. In addition, tissue injury may occur at the measuring site as a result of probe misuse (e.g., pressure sores from prolonged application or electrical shock and burns from the substitution of incompatible probes between instruments).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7.0 DEVICE LIMITATIONS/VALIDATION OF RESULTS: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w:t>
            </w:r>
            <w:r w:rsidRPr="0033673D">
              <w:rPr>
                <w:rFonts w:ascii="Trebuchet MS" w:hAnsi="Trebuchet MS"/>
                <w:sz w:val="21"/>
                <w:szCs w:val="21"/>
              </w:rPr>
              <w:t xml:space="preserve"> Factors, agents, or situations that may affect readings, limit precision, or </w:t>
            </w:r>
            <w:r w:rsidRPr="0033673D">
              <w:rPr>
                <w:rFonts w:ascii="Trebuchet MS" w:hAnsi="Trebuchet MS"/>
                <w:sz w:val="21"/>
                <w:szCs w:val="21"/>
              </w:rPr>
              <w:lastRenderedPageBreak/>
              <w:t>limit the performance or application of a pulse oximeter include: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7.1.1</w:t>
            </w:r>
            <w:r w:rsidRPr="0033673D">
              <w:rPr>
                <w:rFonts w:ascii="Trebuchet MS" w:hAnsi="Trebuchet MS"/>
                <w:sz w:val="21"/>
                <w:szCs w:val="21"/>
              </w:rPr>
              <w:t> motion artifact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7.1.2</w:t>
            </w:r>
            <w:r w:rsidRPr="0033673D">
              <w:rPr>
                <w:rFonts w:ascii="Trebuchet MS" w:hAnsi="Trebuchet MS"/>
                <w:sz w:val="21"/>
                <w:szCs w:val="21"/>
              </w:rPr>
              <w:t> abnormal hemoglobins (primarily carboxyhemoglobin [COHb] and met-hemoglobin [metHb])</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7.1.3</w:t>
            </w:r>
            <w:r w:rsidRPr="0033673D">
              <w:rPr>
                <w:rFonts w:ascii="Trebuchet MS" w:hAnsi="Trebuchet MS"/>
                <w:sz w:val="21"/>
                <w:szCs w:val="21"/>
              </w:rPr>
              <w:t> intravascular dyes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7.1.4</w:t>
            </w:r>
            <w:r w:rsidRPr="0033673D">
              <w:rPr>
                <w:rFonts w:ascii="Trebuchet MS" w:hAnsi="Trebuchet MS"/>
                <w:sz w:val="21"/>
                <w:szCs w:val="21"/>
              </w:rPr>
              <w:t> exposure of measuring probe to ambient light during measurement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7.1.5</w:t>
            </w:r>
            <w:r w:rsidRPr="0033673D">
              <w:rPr>
                <w:rFonts w:ascii="Trebuchet MS" w:hAnsi="Trebuchet MS"/>
                <w:sz w:val="21"/>
                <w:szCs w:val="21"/>
              </w:rPr>
              <w:t> low perfusion states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7.1.6</w:t>
            </w:r>
            <w:r w:rsidRPr="0033673D">
              <w:rPr>
                <w:rFonts w:ascii="Trebuchet MS" w:hAnsi="Trebuchet MS"/>
                <w:sz w:val="21"/>
                <w:szCs w:val="21"/>
              </w:rPr>
              <w:t> skin pigmentation</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7.1.7</w:t>
            </w:r>
            <w:r w:rsidRPr="0033673D">
              <w:rPr>
                <w:rFonts w:ascii="Trebuchet MS" w:hAnsi="Trebuchet MS"/>
                <w:sz w:val="21"/>
                <w:szCs w:val="21"/>
              </w:rPr>
              <w:t> nail polish or nail coverings with finger probe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7.1.8</w:t>
            </w:r>
            <w:r w:rsidRPr="0033673D">
              <w:rPr>
                <w:rFonts w:ascii="Trebuchet MS" w:hAnsi="Trebuchet MS"/>
                <w:sz w:val="21"/>
                <w:szCs w:val="21"/>
              </w:rPr>
              <w:t> inability to detect saturations below 83% with the same degree of accuracy and precision seen at higher saturations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7.1.9</w:t>
            </w:r>
            <w:r w:rsidRPr="0033673D">
              <w:rPr>
                <w:rFonts w:ascii="Trebuchet MS" w:hAnsi="Trebuchet MS"/>
                <w:sz w:val="21"/>
                <w:szCs w:val="21"/>
              </w:rPr>
              <w:t> inability to quantitate the degree of hyperoxemia present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7.1.10</w:t>
            </w:r>
            <w:r w:rsidRPr="0033673D">
              <w:rPr>
                <w:rFonts w:ascii="Trebuchet MS" w:hAnsi="Trebuchet MS"/>
                <w:sz w:val="21"/>
                <w:szCs w:val="21"/>
              </w:rPr>
              <w:t> Hyperbilirubinemia has been shown </w:t>
            </w:r>
            <w:r w:rsidRPr="0033673D">
              <w:rPr>
                <w:rFonts w:ascii="Trebuchet MS" w:hAnsi="Trebuchet MS"/>
                <w:b/>
                <w:bCs/>
                <w:i/>
                <w:iCs/>
                <w:sz w:val="21"/>
                <w:szCs w:val="21"/>
              </w:rPr>
              <w:t>not</w:t>
            </w:r>
            <w:r w:rsidRPr="0033673D">
              <w:rPr>
                <w:rFonts w:ascii="Trebuchet MS" w:hAnsi="Trebuchet MS"/>
                <w:sz w:val="21"/>
                <w:szCs w:val="21"/>
              </w:rPr>
              <w:t> to affect the accuracy of SpO2 (Pulse Oximeter Oxygen Saturation) readings.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7.2</w:t>
            </w:r>
            <w:r w:rsidRPr="0033673D">
              <w:rPr>
                <w:rFonts w:ascii="Trebuchet MS" w:hAnsi="Trebuchet MS"/>
                <w:sz w:val="21"/>
                <w:szCs w:val="21"/>
              </w:rPr>
              <w:t> To validate pulse oximeter readings, incorporate or assess agreement between SpO2 and arterial oxyhemoglobin saturation (SaO2) obtained by direct measurement--these measurements should be initially performed simultaneously and then periodically re-evaluated in relation to the patient’s clinical state.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7.3</w:t>
            </w:r>
            <w:r w:rsidRPr="0033673D">
              <w:rPr>
                <w:rFonts w:ascii="Trebuchet MS" w:hAnsi="Trebuchet MS"/>
                <w:sz w:val="21"/>
                <w:szCs w:val="21"/>
              </w:rPr>
              <w:t> To help assure consistency of care (between institutions and within the same institution) based on SpO2 readings, assess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7.3.1</w:t>
            </w:r>
            <w:r w:rsidRPr="0033673D">
              <w:rPr>
                <w:rFonts w:ascii="Trebuchet MS" w:hAnsi="Trebuchet MS"/>
                <w:sz w:val="21"/>
                <w:szCs w:val="21"/>
              </w:rPr>
              <w:t> selection of proper probe and appropriate placement (the probe is attached to its intended site, usually the finger);</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7.3.2</w:t>
            </w:r>
            <w:r w:rsidRPr="0033673D">
              <w:rPr>
                <w:rFonts w:ascii="Trebuchet MS" w:hAnsi="Trebuchet MS"/>
                <w:sz w:val="21"/>
                <w:szCs w:val="21"/>
              </w:rPr>
              <w:t> for continuous, prolonged monitoring, the Hi/Low alarms are appropriately set;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7.3.3</w:t>
            </w:r>
            <w:r w:rsidRPr="0033673D">
              <w:rPr>
                <w:rFonts w:ascii="Trebuchet MS" w:hAnsi="Trebuchet MS"/>
                <w:sz w:val="21"/>
                <w:szCs w:val="21"/>
              </w:rPr>
              <w:t> specific manufacturer’s recommendations are complied with, the device is applied and adjusted correctly to monitor response time and electrocardiographic coupling;</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7.3.4</w:t>
            </w:r>
            <w:r w:rsidRPr="0033673D">
              <w:rPr>
                <w:rFonts w:ascii="Trebuchet MS" w:hAnsi="Trebuchet MS"/>
                <w:sz w:val="21"/>
                <w:szCs w:val="21"/>
              </w:rPr>
              <w:t> </w:t>
            </w:r>
            <w:proofErr w:type="gramStart"/>
            <w:r w:rsidRPr="0033673D">
              <w:rPr>
                <w:rFonts w:ascii="Trebuchet MS" w:hAnsi="Trebuchet MS"/>
                <w:sz w:val="21"/>
                <w:szCs w:val="21"/>
              </w:rPr>
              <w:t>strength</w:t>
            </w:r>
            <w:proofErr w:type="gramEnd"/>
            <w:r w:rsidRPr="0033673D">
              <w:rPr>
                <w:rFonts w:ascii="Trebuchet MS" w:hAnsi="Trebuchet MS"/>
                <w:sz w:val="21"/>
                <w:szCs w:val="21"/>
              </w:rPr>
              <w:t xml:space="preserve"> of plethysmograph waveform or pulse amplitude strength; assure that device is detecting an adequate pulse.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w:t>
            </w:r>
            <w:r w:rsidRPr="0033673D">
              <w:rPr>
                <w:rFonts w:ascii="Trebuchet MS" w:hAnsi="Trebuchet MS"/>
                <w:sz w:val="21"/>
                <w:szCs w:val="21"/>
              </w:rPr>
              <w:t> SpO2 results should be documented in the patient’s medical record and should detail the conditions under which the readings were obtained: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7.4.1</w:t>
            </w:r>
            <w:r w:rsidRPr="0033673D">
              <w:rPr>
                <w:rFonts w:ascii="Trebuchet MS" w:hAnsi="Trebuchet MS"/>
                <w:sz w:val="21"/>
                <w:szCs w:val="21"/>
              </w:rPr>
              <w:t xml:space="preserve"> date, time of measurement, and pulse oximeter reading; patient’s </w:t>
            </w:r>
            <w:r w:rsidRPr="0033673D">
              <w:rPr>
                <w:rFonts w:ascii="Trebuchet MS" w:hAnsi="Trebuchet MS"/>
                <w:sz w:val="21"/>
                <w:szCs w:val="21"/>
              </w:rPr>
              <w:lastRenderedPageBreak/>
              <w:t>position, activity level, and location; during monitoring, assure that patient’s activity is according to physician’s order;</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7.4.2</w:t>
            </w:r>
            <w:r w:rsidRPr="0033673D">
              <w:rPr>
                <w:rFonts w:ascii="Trebuchet MS" w:hAnsi="Trebuchet MS"/>
                <w:sz w:val="21"/>
                <w:szCs w:val="21"/>
              </w:rPr>
              <w:t> inspired oxygen concentration or supplemental oxygen flow, specifying the type of oxygen delivery device;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7.4.3</w:t>
            </w:r>
            <w:r w:rsidRPr="0033673D">
              <w:rPr>
                <w:rFonts w:ascii="Trebuchet MS" w:hAnsi="Trebuchet MS"/>
                <w:sz w:val="21"/>
                <w:szCs w:val="21"/>
              </w:rPr>
              <w:t> probe placement site and probe type;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7.4.4</w:t>
            </w:r>
            <w:r w:rsidRPr="0033673D">
              <w:rPr>
                <w:rFonts w:ascii="Trebuchet MS" w:hAnsi="Trebuchet MS"/>
                <w:sz w:val="21"/>
                <w:szCs w:val="21"/>
              </w:rPr>
              <w:t> model of device (if more than one device is available for use);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7.4.5</w:t>
            </w:r>
            <w:r w:rsidRPr="0033673D">
              <w:rPr>
                <w:rFonts w:ascii="Trebuchet MS" w:hAnsi="Trebuchet MS"/>
                <w:sz w:val="21"/>
                <w:szCs w:val="21"/>
              </w:rPr>
              <w:t> results of simultaneously obtained arterial pH, PaO2, and PaCO2, and directly measured saturations of COHb, MetHb, and O2Hb4 (if direct measurement was not simultaneously performed, an additional, one-time statement must be made explaining that the SpO2 reading has not been validated by comparison to directly measured values);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7.4.6</w:t>
            </w:r>
            <w:r w:rsidRPr="0033673D">
              <w:rPr>
                <w:rFonts w:ascii="Trebuchet MS" w:hAnsi="Trebuchet MS"/>
                <w:sz w:val="21"/>
                <w:szCs w:val="21"/>
              </w:rPr>
              <w:t> stability of readings (length of observation time and range of fluctuation, for continuous or prolonged studies, review of recording may be necessary);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7.4.7</w:t>
            </w:r>
            <w:r w:rsidRPr="0033673D">
              <w:rPr>
                <w:rFonts w:ascii="Trebuchet MS" w:hAnsi="Trebuchet MS"/>
                <w:sz w:val="21"/>
                <w:szCs w:val="21"/>
              </w:rPr>
              <w:t> clinical appearance of patient--subjective assessment of perfusion at measuring site (e.g., cyanosis, skin temperature);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7.4.8</w:t>
            </w:r>
            <w:r w:rsidRPr="0033673D">
              <w:rPr>
                <w:rFonts w:ascii="Trebuchet MS" w:hAnsi="Trebuchet MS"/>
                <w:sz w:val="21"/>
                <w:szCs w:val="21"/>
              </w:rPr>
              <w:t> </w:t>
            </w:r>
            <w:proofErr w:type="gramStart"/>
            <w:r w:rsidRPr="0033673D">
              <w:rPr>
                <w:rFonts w:ascii="Trebuchet MS" w:hAnsi="Trebuchet MS"/>
                <w:sz w:val="21"/>
                <w:szCs w:val="21"/>
              </w:rPr>
              <w:t>agreement</w:t>
            </w:r>
            <w:proofErr w:type="gramEnd"/>
            <w:r w:rsidRPr="0033673D">
              <w:rPr>
                <w:rFonts w:ascii="Trebuchet MS" w:hAnsi="Trebuchet MS"/>
                <w:sz w:val="21"/>
                <w:szCs w:val="21"/>
              </w:rPr>
              <w:t xml:space="preserve"> between patient’s heart rate as determined by pulse oximeter and by palpation and oscilloscope.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7.5</w:t>
            </w:r>
            <w:r w:rsidRPr="0033673D">
              <w:rPr>
                <w:rFonts w:ascii="Trebuchet MS" w:hAnsi="Trebuchet MS"/>
                <w:sz w:val="21"/>
                <w:szCs w:val="21"/>
              </w:rPr>
              <w:t> When disparity exists between SpO2, SaO2 readings, and the clinical presentation of the patient, possible causes should be explored before results are reported. Discrepancies may be reduced by monitoring at alternate sites or appropriate substitution of instruments or probes. </w:t>
            </w:r>
            <w:r w:rsidRPr="0033673D">
              <w:rPr>
                <w:rFonts w:ascii="Trebuchet MS" w:hAnsi="Trebuchet MS"/>
                <w:i/>
                <w:iCs/>
                <w:sz w:val="21"/>
                <w:szCs w:val="21"/>
              </w:rPr>
              <w:t>If such steps do not remedy the disparity, results of pulse oximetry should not be reported</w:t>
            </w:r>
            <w:r w:rsidRPr="0033673D">
              <w:rPr>
                <w:rFonts w:ascii="Trebuchet MS" w:hAnsi="Trebuchet MS"/>
                <w:sz w:val="21"/>
                <w:szCs w:val="21"/>
              </w:rPr>
              <w:t>; instead, a statement describing the corrective action should be included in the patient’s medical record, and direct measurement of arterial blood gas values should be requested. The absolute limits that constitute unacceptable disparity vary with patient condition and specific device. Clinical judgment must be exercised.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8.0 ASSESSMENT OF NEED: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8.1</w:t>
            </w:r>
            <w:r w:rsidRPr="0033673D">
              <w:rPr>
                <w:rFonts w:ascii="Trebuchet MS" w:hAnsi="Trebuchet MS"/>
                <w:sz w:val="21"/>
                <w:szCs w:val="21"/>
              </w:rPr>
              <w:t> When direct measurement of SaO2 is not available or accessible in a timely fashion, a SpO2 measurement may temporarily suffice if the limitations of the data are appreciated.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8.2</w:t>
            </w:r>
            <w:r w:rsidRPr="0033673D">
              <w:rPr>
                <w:rFonts w:ascii="Trebuchet MS" w:hAnsi="Trebuchet MS"/>
                <w:sz w:val="21"/>
                <w:szCs w:val="21"/>
              </w:rPr>
              <w:t> SpO2 is appropriate for continuous and prolonged monitoring (e.g., during sleep, exercise, bronchoscopy).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8.3</w:t>
            </w:r>
            <w:r w:rsidRPr="0033673D">
              <w:rPr>
                <w:rFonts w:ascii="Trebuchet MS" w:hAnsi="Trebuchet MS"/>
                <w:sz w:val="21"/>
                <w:szCs w:val="21"/>
              </w:rPr>
              <w:t> SpO2 may be adequate when assessment of acid-base status and/or PaO2 is not required.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9.0 ASSESSMENT OF OUTCOME: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lastRenderedPageBreak/>
              <w:t>The following should be utilized to evaluate the benefit of pulse oximetry: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9.1</w:t>
            </w:r>
            <w:r w:rsidRPr="0033673D">
              <w:rPr>
                <w:rFonts w:ascii="Trebuchet MS" w:hAnsi="Trebuchet MS"/>
                <w:sz w:val="21"/>
                <w:szCs w:val="21"/>
              </w:rPr>
              <w:t> SpO2 results should reflect the patient’s clinical condition (i.e., validate the basis for ordering the test).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9.2</w:t>
            </w:r>
            <w:r w:rsidRPr="0033673D">
              <w:rPr>
                <w:rFonts w:ascii="Trebuchet MS" w:hAnsi="Trebuchet MS"/>
                <w:sz w:val="21"/>
                <w:szCs w:val="21"/>
              </w:rPr>
              <w:t> Documentation of results, therapeutic intervention (or lack of), and/or clinical decisions based on the SpO2 measurement should be noted in the medical record.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10.0 RESOURCES: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10.1</w:t>
            </w:r>
            <w:r w:rsidRPr="0033673D">
              <w:rPr>
                <w:rFonts w:ascii="Trebuchet MS" w:hAnsi="Trebuchet MS"/>
                <w:sz w:val="21"/>
                <w:szCs w:val="21"/>
              </w:rPr>
              <w:t> Equipment: pulse oximeter and related accessories (probe of appropriate size)--the oximeter should have been validated by the manufacturer by a comparison of its values (and consequently its calibration curve) with directly measured oxyhemoglobin saturation.</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10.2</w:t>
            </w:r>
            <w:r w:rsidRPr="0033673D">
              <w:rPr>
                <w:rFonts w:ascii="Trebuchet MS" w:hAnsi="Trebuchet MS"/>
                <w:sz w:val="21"/>
                <w:szCs w:val="21"/>
              </w:rPr>
              <w:t> Personnel: Pulse oximetry is a relatively easy procedure to perform. However, if the procedure is not properly performed or if it is performed by persons who are not cognizant of device limitations or applications, spurious results can lead to inappropriate intervention.</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10.2.1</w:t>
            </w:r>
            <w:r w:rsidRPr="0033673D">
              <w:rPr>
                <w:rFonts w:ascii="Trebuchet MS" w:hAnsi="Trebuchet MS"/>
                <w:sz w:val="21"/>
                <w:szCs w:val="21"/>
              </w:rPr>
              <w:t> Level I--personnel trained in the technical operation of pulse oximeters, oxygen delivery devices and related equipment, measurement of vital signs, and record keeping--may perform and record results of pulse oximetry but should be supervised by Level II personnel.</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10.2.2</w:t>
            </w:r>
            <w:r w:rsidRPr="0033673D">
              <w:rPr>
                <w:rFonts w:ascii="Trebuchet MS" w:hAnsi="Trebuchet MS"/>
                <w:sz w:val="21"/>
                <w:szCs w:val="21"/>
              </w:rPr>
              <w:t> Level II--health care professionals trained in patient assessment, disorders of acid-base, oxygenation and ventilation, and diagnostic and therapeutic alternatives--evaluate patients and recommend and/or make changes in therapy based on assessment.</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11.0 MONITORING:</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The clinician is referred to </w:t>
            </w:r>
            <w:r w:rsidRPr="0033673D">
              <w:rPr>
                <w:rFonts w:ascii="Trebuchet MS" w:hAnsi="Trebuchet MS"/>
                <w:i/>
                <w:iCs/>
                <w:sz w:val="21"/>
                <w:szCs w:val="21"/>
              </w:rPr>
              <w:t>Section 7.0 Validation of Results.</w:t>
            </w:r>
            <w:r w:rsidRPr="0033673D">
              <w:rPr>
                <w:rFonts w:ascii="Trebuchet MS" w:hAnsi="Trebuchet MS"/>
                <w:sz w:val="21"/>
                <w:szCs w:val="21"/>
              </w:rPr>
              <w:t> The monitoring schedule of patient and equipment during continuous oximetry should be tied to bedside assessment and vital signs determinations.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12.0 FREQUENCY:</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After agreement has been initially established between SaO2 and SpO2, the frequency of SpO2 monitoring (i.e., continuous vs "spot check") depends on the clinical status of the patient, the indications for performing the procedure and recommended guidelines. For example, continuous SpO2 monitoring may be indicated throughout a bronchoscopy for detecting episodes of desaturation, whereas a spot check may suffice for evaluating the efficacy of continued oxygen therapy in a stable postoperative patient. However, it must be emphasized that direct measurement of SaO2 is necessary whenever the SpO2 does not confirm or verify suspicions concerning the patient’s clinical state.</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lastRenderedPageBreak/>
              <w:t>13.0 INFECTION CONTROL:</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sz w:val="21"/>
                <w:szCs w:val="21"/>
              </w:rPr>
              <w:t>No special precautions are necessary, but universal precautions (as described by the Centers for Disease Control and Prevention) are recommended.</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13.1</w:t>
            </w:r>
            <w:r w:rsidRPr="0033673D">
              <w:rPr>
                <w:rFonts w:ascii="Trebuchet MS" w:hAnsi="Trebuchet MS"/>
                <w:sz w:val="21"/>
                <w:szCs w:val="21"/>
              </w:rPr>
              <w:t xml:space="preserve"> If the device probe is intended for multiple patient </w:t>
            </w:r>
            <w:proofErr w:type="gramStart"/>
            <w:r w:rsidRPr="0033673D">
              <w:rPr>
                <w:rFonts w:ascii="Trebuchet MS" w:hAnsi="Trebuchet MS"/>
                <w:sz w:val="21"/>
                <w:szCs w:val="21"/>
              </w:rPr>
              <w:t>use</w:t>
            </w:r>
            <w:proofErr w:type="gramEnd"/>
            <w:r w:rsidRPr="0033673D">
              <w:rPr>
                <w:rFonts w:ascii="Trebuchet MS" w:hAnsi="Trebuchet MS"/>
                <w:sz w:val="21"/>
                <w:szCs w:val="21"/>
              </w:rPr>
              <w:t>, the probe should be cleaned between patient applications according to manufacturer recommendations.</w:t>
            </w:r>
          </w:p>
          <w:p w:rsidR="005178D6" w:rsidRPr="0033673D" w:rsidRDefault="005178D6" w:rsidP="005178D6">
            <w:pPr>
              <w:shd w:val="clear" w:color="auto" w:fill="FFFFFF"/>
              <w:spacing w:before="100" w:beforeAutospacing="1" w:after="100" w:afterAutospacing="1"/>
              <w:rPr>
                <w:rFonts w:ascii="Trebuchet MS" w:hAnsi="Trebuchet MS"/>
                <w:sz w:val="21"/>
                <w:szCs w:val="21"/>
              </w:rPr>
            </w:pPr>
            <w:r w:rsidRPr="0033673D">
              <w:rPr>
                <w:rFonts w:ascii="Trebuchet MS" w:hAnsi="Trebuchet MS"/>
                <w:b/>
                <w:bCs/>
                <w:sz w:val="21"/>
                <w:szCs w:val="21"/>
              </w:rPr>
              <w:t>13.2</w:t>
            </w:r>
            <w:r w:rsidRPr="0033673D">
              <w:rPr>
                <w:rFonts w:ascii="Trebuchet MS" w:hAnsi="Trebuchet MS"/>
                <w:sz w:val="21"/>
                <w:szCs w:val="21"/>
              </w:rPr>
              <w:t> The external portion of the monitor should be cleaned according to manufacturer’s recommendations whenever the device remains in a patient’s room for prolonged periods, when soiled, or when it has come in contact with potentially transmissible organisms.</w:t>
            </w:r>
          </w:p>
          <w:p w:rsidR="005178D6" w:rsidRPr="0033673D" w:rsidRDefault="005178D6" w:rsidP="005178D6">
            <w:pPr>
              <w:rPr>
                <w:rFonts w:ascii="Trebuchet MS" w:hAnsi="Trebuchet MS"/>
                <w:sz w:val="21"/>
                <w:szCs w:val="21"/>
                <w:lang w:eastAsia="zh-CN"/>
              </w:rPr>
            </w:pPr>
          </w:p>
          <w:p w:rsidR="005178D6" w:rsidRPr="0033673D" w:rsidRDefault="005178D6" w:rsidP="005178D6">
            <w:pPr>
              <w:rPr>
                <w:rFonts w:ascii="Trebuchet MS" w:hAnsi="Trebuchet MS"/>
                <w:sz w:val="21"/>
                <w:szCs w:val="21"/>
                <w:lang w:eastAsia="zh-CN"/>
              </w:rPr>
            </w:pPr>
            <w:r w:rsidRPr="0033673D">
              <w:rPr>
                <w:rFonts w:ascii="Trebuchet MS" w:hAnsi="Trebuchet MS"/>
                <w:sz w:val="21"/>
                <w:szCs w:val="21"/>
                <w:lang w:eastAsia="zh-CN"/>
              </w:rPr>
              <w:t>Saturation of oxyhemoglobin (S</w:t>
            </w:r>
            <w:r w:rsidRPr="0033673D">
              <w:rPr>
                <w:rFonts w:ascii="Trebuchet MS" w:hAnsi="Trebuchet MS"/>
                <w:sz w:val="21"/>
                <w:szCs w:val="21"/>
                <w:vertAlign w:val="subscript"/>
                <w:lang w:eastAsia="zh-CN"/>
              </w:rPr>
              <w:t>pO2</w:t>
            </w:r>
            <w:r w:rsidRPr="0033673D">
              <w:rPr>
                <w:rFonts w:ascii="Trebuchet MS" w:hAnsi="Trebuchet MS"/>
                <w:sz w:val="21"/>
                <w:szCs w:val="21"/>
                <w:lang w:eastAsia="zh-CN"/>
              </w:rPr>
              <w:t>):___________________</w:t>
            </w:r>
          </w:p>
          <w:p w:rsidR="005178D6" w:rsidRPr="0033673D" w:rsidRDefault="005178D6" w:rsidP="005178D6">
            <w:pPr>
              <w:rPr>
                <w:rFonts w:ascii="Trebuchet MS" w:hAnsi="Trebuchet MS"/>
                <w:sz w:val="21"/>
                <w:szCs w:val="21"/>
                <w:lang w:eastAsia="zh-CN"/>
              </w:rPr>
            </w:pPr>
          </w:p>
          <w:p w:rsidR="005178D6" w:rsidRPr="0033673D" w:rsidRDefault="005178D6" w:rsidP="005178D6">
            <w:pPr>
              <w:rPr>
                <w:rFonts w:ascii="Trebuchet MS" w:hAnsi="Trebuchet MS"/>
                <w:sz w:val="21"/>
                <w:szCs w:val="21"/>
                <w:lang w:eastAsia="zh-CN"/>
              </w:rPr>
            </w:pPr>
            <w:r w:rsidRPr="0033673D">
              <w:rPr>
                <w:rFonts w:ascii="Trebuchet MS" w:hAnsi="Trebuchet MS"/>
                <w:sz w:val="21"/>
                <w:szCs w:val="21"/>
                <w:lang w:eastAsia="zh-CN"/>
              </w:rPr>
              <w:t>Arterial oxyhemoglobin saturation (S</w:t>
            </w:r>
            <w:r w:rsidRPr="0033673D">
              <w:rPr>
                <w:rFonts w:ascii="Trebuchet MS" w:hAnsi="Trebuchet MS"/>
                <w:sz w:val="21"/>
                <w:szCs w:val="21"/>
                <w:vertAlign w:val="subscript"/>
                <w:lang w:eastAsia="zh-CN"/>
              </w:rPr>
              <w:t>aO2</w:t>
            </w:r>
            <w:r w:rsidRPr="0033673D">
              <w:rPr>
                <w:rFonts w:ascii="Trebuchet MS" w:hAnsi="Trebuchet MS"/>
                <w:sz w:val="21"/>
                <w:szCs w:val="21"/>
                <w:lang w:eastAsia="zh-CN"/>
              </w:rPr>
              <w:t>) :_______________</w:t>
            </w:r>
          </w:p>
          <w:p w:rsidR="00900682" w:rsidRPr="0033673D" w:rsidRDefault="00900682">
            <w:pPr>
              <w:rPr>
                <w:rFonts w:ascii="Trebuchet MS" w:hAnsi="Trebuchet MS"/>
                <w:sz w:val="21"/>
                <w:szCs w:val="21"/>
              </w:rPr>
            </w:pP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This protocol is supported by the American Association of Respiratory Care. This protocol was written by an expert panel of respiratory care professionals and has been utilized for many years.</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American Association for Respiratory Care. (1991). AARC Clinical Practice Guideline: Pulse oximetry. Respiratory Care, 36(12), 1406-1408.</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English</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All ages (including infants)</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Personnel should be trained in the technical operation of pulse oximeters, oxygen delivery devices and related equipment, measurement of vital signs, and record keeping. Personnel should be supervised by health care professionals trained in patient assessment, disorders of acid-base, oxygenation and ventilation, and diagnostic and therapeutic alternatives.</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Pulse oximeter and related accessories (probe of appropriate size)--the oximeter should have been validated by the manufacturer by a comparison of its values (and consequently its calibration curve) with directly measured oxyhemoglobin saturation.</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0"/>
              <w:gridCol w:w="2795"/>
              <w:gridCol w:w="861"/>
              <w:gridCol w:w="1038"/>
            </w:tblGrid>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Source</w:t>
                  </w:r>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Person Rest Oxygen Saturation Measurement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2970255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hyperlink r:id="rId5" w:history="1">
                    <w:r w:rsidRPr="0033673D">
                      <w:rPr>
                        <w:rStyle w:val="Hyperlink"/>
                        <w:rFonts w:ascii="Trebuchet MS" w:hAnsi="Trebuchet MS"/>
                        <w:sz w:val="21"/>
                        <w:szCs w:val="21"/>
                      </w:rPr>
                      <w:t>CDE Browser</w:t>
                    </w:r>
                  </w:hyperlink>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Resp pulse ox rest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62733-1</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hyperlink r:id="rId6" w:history="1">
                    <w:r w:rsidRPr="0033673D">
                      <w:rPr>
                        <w:rStyle w:val="Hyperlink"/>
                        <w:rFonts w:ascii="Trebuchet MS" w:hAnsi="Trebuchet MS"/>
                        <w:sz w:val="21"/>
                        <w:szCs w:val="21"/>
                      </w:rPr>
                      <w:t>LOINC</w:t>
                    </w:r>
                  </w:hyperlink>
                </w:p>
              </w:tc>
            </w:tr>
          </w:tbl>
          <w:p w:rsidR="00900682" w:rsidRPr="0033673D" w:rsidRDefault="00900682">
            <w:pPr>
              <w:rPr>
                <w:rFonts w:ascii="Trebuchet MS" w:hAnsi="Trebuchet MS"/>
                <w:sz w:val="21"/>
                <w:szCs w:val="21"/>
              </w:rPr>
            </w:pP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None</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Physical Measurement</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None</w:t>
            </w: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18"/>
              <w:gridCol w:w="996"/>
            </w:tblGrid>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t>Required</w:t>
                  </w:r>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673D" w:rsidRDefault="00900682">
                  <w:pPr>
                    <w:rPr>
                      <w:rFonts w:ascii="Trebuchet MS" w:hAnsi="Trebuchet MS"/>
                      <w:sz w:val="21"/>
                      <w:szCs w:val="21"/>
                    </w:rPr>
                  </w:pPr>
                  <w:r w:rsidRPr="0033673D">
                    <w:rPr>
                      <w:rFonts w:ascii="Trebuchet MS" w:hAnsi="Trebuchet MS"/>
                      <w:sz w:val="21"/>
                      <w:szCs w:val="21"/>
                    </w:rPr>
                    <w:t xml:space="preserve">Major equipment </w:t>
                  </w:r>
                </w:p>
                <w:p w:rsidR="00900682" w:rsidRPr="0033673D" w:rsidRDefault="00900682">
                  <w:pPr>
                    <w:rPr>
                      <w:rFonts w:ascii="Trebuchet MS" w:hAnsi="Trebuchet MS"/>
                      <w:color w:val="A6A6A6" w:themeColor="background1" w:themeShade="A6"/>
                      <w:sz w:val="21"/>
                      <w:szCs w:val="21"/>
                    </w:rPr>
                  </w:pPr>
                  <w:r w:rsidRPr="0033673D">
                    <w:rPr>
                      <w:rFonts w:ascii="Trebuchet MS" w:hAnsi="Trebuchet MS"/>
                      <w:color w:val="A6A6A6" w:themeColor="background1" w:themeShade="A6"/>
                      <w:sz w:val="21"/>
                      <w:szCs w:val="21"/>
                    </w:rPr>
                    <w:lastRenderedPageBreak/>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lastRenderedPageBreak/>
                    <w:t>Yes</w:t>
                  </w:r>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Default="0033673D">
                  <w:pPr>
                    <w:rPr>
                      <w:rFonts w:ascii="Trebuchet MS" w:hAnsi="Trebuchet MS"/>
                      <w:sz w:val="21"/>
                      <w:szCs w:val="21"/>
                    </w:rPr>
                  </w:pPr>
                  <w:r>
                    <w:rPr>
                      <w:rFonts w:ascii="Trebuchet MS" w:hAnsi="Trebuchet MS"/>
                      <w:sz w:val="21"/>
                      <w:szCs w:val="21"/>
                    </w:rPr>
                    <w:lastRenderedPageBreak/>
                    <w:t>Specialized training</w:t>
                  </w:r>
                </w:p>
                <w:p w:rsidR="0033673D" w:rsidRDefault="0033673D">
                  <w:pPr>
                    <w:rPr>
                      <w:rFonts w:ascii="Trebuchet MS" w:hAnsi="Trebuchet MS"/>
                      <w:sz w:val="21"/>
                      <w:szCs w:val="21"/>
                    </w:rPr>
                  </w:pPr>
                </w:p>
                <w:p w:rsidR="0033673D" w:rsidRPr="0033673D" w:rsidRDefault="0033673D">
                  <w:pPr>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Yes</w:t>
                  </w:r>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Specialized requirements for biospecimen collection</w:t>
                  </w:r>
                </w:p>
                <w:p w:rsidR="00900682" w:rsidRPr="0033673D" w:rsidRDefault="00900682">
                  <w:pPr>
                    <w:pStyle w:val="NormalWeb"/>
                    <w:rPr>
                      <w:rFonts w:ascii="Trebuchet MS" w:hAnsi="Trebuchet MS"/>
                      <w:color w:val="A6A6A6" w:themeColor="background1" w:themeShade="A6"/>
                      <w:sz w:val="21"/>
                      <w:szCs w:val="21"/>
                    </w:rPr>
                  </w:pPr>
                  <w:r w:rsidRPr="0033673D">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No</w:t>
                  </w:r>
                </w:p>
              </w:tc>
            </w:tr>
            <w:tr w:rsidR="00900682" w:rsidRPr="003367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Average time of greater than 15 minutes in an unaffected individual</w:t>
                  </w:r>
                </w:p>
                <w:p w:rsidR="00900682" w:rsidRPr="0033673D" w:rsidRDefault="00900682">
                  <w:pPr>
                    <w:pStyle w:val="NormalWeb"/>
                    <w:rPr>
                      <w:rFonts w:ascii="Trebuchet MS" w:hAnsi="Trebuchet MS"/>
                      <w:color w:val="A6A6A6" w:themeColor="background1" w:themeShade="A6"/>
                      <w:sz w:val="21"/>
                      <w:szCs w:val="21"/>
                    </w:rPr>
                  </w:pPr>
                  <w:r w:rsidRPr="0033673D">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Fonts w:ascii="Trebuchet MS" w:hAnsi="Trebuchet MS"/>
                      <w:sz w:val="21"/>
                      <w:szCs w:val="21"/>
                    </w:rPr>
                    <w:t>No</w:t>
                  </w:r>
                </w:p>
              </w:tc>
            </w:tr>
          </w:tbl>
          <w:p w:rsidR="00900682" w:rsidRPr="0033673D" w:rsidRDefault="00900682">
            <w:pPr>
              <w:rPr>
                <w:rFonts w:ascii="Trebuchet MS" w:hAnsi="Trebuchet MS"/>
                <w:sz w:val="21"/>
                <w:szCs w:val="21"/>
              </w:rPr>
            </w:pPr>
          </w:p>
        </w:tc>
      </w:tr>
      <w:tr w:rsidR="00900682" w:rsidRPr="0033673D">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rPr>
                <w:rFonts w:ascii="Trebuchet MS" w:hAnsi="Trebuchet MS"/>
                <w:sz w:val="21"/>
                <w:szCs w:val="21"/>
              </w:rPr>
            </w:pPr>
            <w:r w:rsidRPr="0033673D">
              <w:rPr>
                <w:rStyle w:val="Strong"/>
                <w:rFonts w:ascii="Trebuchet MS" w:hAnsi="Trebuchet MS"/>
                <w:sz w:val="21"/>
                <w:szCs w:val="21"/>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00682" w:rsidRPr="0033673D" w:rsidRDefault="00900682">
            <w:pPr>
              <w:pStyle w:val="NormalWeb"/>
              <w:rPr>
                <w:rFonts w:ascii="Trebuchet MS" w:hAnsi="Trebuchet MS"/>
                <w:sz w:val="21"/>
                <w:szCs w:val="21"/>
              </w:rPr>
            </w:pPr>
            <w:r w:rsidRPr="0033673D">
              <w:rPr>
                <w:rFonts w:ascii="Trebuchet MS" w:hAnsi="Trebuchet MS"/>
                <w:sz w:val="21"/>
                <w:szCs w:val="21"/>
              </w:rPr>
              <w:t>The Expert Review Panel has not reviewed this measure yet.</w:t>
            </w:r>
          </w:p>
        </w:tc>
      </w:tr>
    </w:tbl>
    <w:p w:rsidR="00900682" w:rsidRPr="0033673D" w:rsidRDefault="00900682">
      <w:pPr>
        <w:rPr>
          <w:rFonts w:ascii="Trebuchet MS" w:hAnsi="Trebuchet MS"/>
          <w:sz w:val="21"/>
          <w:szCs w:val="21"/>
        </w:rPr>
      </w:pPr>
      <w:bookmarkStart w:id="0" w:name="_GoBack"/>
      <w:bookmarkEnd w:id="0"/>
    </w:p>
    <w:sectPr w:rsidR="00900682" w:rsidRPr="00336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2D"/>
    <w:rsid w:val="000B362D"/>
    <w:rsid w:val="0033673D"/>
    <w:rsid w:val="005178D6"/>
    <w:rsid w:val="0090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tails.loinc.org/LOINC/62733-1.html?sections=Web" TargetMode="External"/><Relationship Id="rId5" Type="http://schemas.openxmlformats.org/officeDocument/2006/relationships/hyperlink" Target="https://cdebrowser.nci.nih.gov/CDEBrowser/search?elementDetails=9&amp;FirstTimer=0&amp;PageId=ElementDetailsGroup&amp;publicId=2970255&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11409</CharactersWithSpaces>
  <SharedDoc>false</SharedDoc>
  <HLinks>
    <vt:vector size="12" baseType="variant">
      <vt:variant>
        <vt:i4>8061032</vt:i4>
      </vt:variant>
      <vt:variant>
        <vt:i4>3</vt:i4>
      </vt:variant>
      <vt:variant>
        <vt:i4>0</vt:i4>
      </vt:variant>
      <vt:variant>
        <vt:i4>5</vt:i4>
      </vt:variant>
      <vt:variant>
        <vt:lpwstr>http://s.details.loinc.org/LOINC/62733-1.html?sections=Web</vt:lpwstr>
      </vt:variant>
      <vt:variant>
        <vt:lpwstr/>
      </vt:variant>
      <vt:variant>
        <vt:i4>6619249</vt:i4>
      </vt:variant>
      <vt:variant>
        <vt:i4>0</vt:i4>
      </vt:variant>
      <vt:variant>
        <vt:i4>0</vt:i4>
      </vt:variant>
      <vt:variant>
        <vt:i4>5</vt:i4>
      </vt:variant>
      <vt:variant>
        <vt:lpwstr>https://cdebrowser.nci.nih.gov/CDEBrowser/search?elementDetails=9&amp;FirstTimer=0&amp;PageId=ElementDetailsGroup&amp;publicId=2970255&amp;version=1.0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2017-12-06T18:10:00Z</dcterms:created>
  <dcterms:modified xsi:type="dcterms:W3CDTF">2017-12-06T18:10:00Z</dcterms:modified>
</cp:coreProperties>
</file>