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5C5EEF" w:rsidRPr="00AC58F3" w:rsidTr="008853C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7"/>
                <w:szCs w:val="27"/>
              </w:rPr>
            </w:pPr>
            <w:r w:rsidRPr="00AC58F3">
              <w:rPr>
                <w:rFonts w:ascii="Trebuchet MS" w:eastAsia="Times New Roman" w:hAnsi="Trebuchet MS" w:cs="Times New Roman"/>
                <w:b/>
                <w:bCs/>
                <w:color w:val="000000"/>
                <w:sz w:val="27"/>
                <w:szCs w:val="27"/>
              </w:rPr>
              <w:t>Selenium</w:t>
            </w: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050901</w:t>
            </w:r>
          </w:p>
        </w:tc>
      </w:tr>
      <w:tr w:rsidR="00E94824"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94824" w:rsidRPr="00AC58F3" w:rsidRDefault="00E94824" w:rsidP="008853CD">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94824" w:rsidRPr="00AC58F3" w:rsidRDefault="00E94824" w:rsidP="008853CD">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0" w:name="_GoBack"/>
            <w:bookmarkEnd w:id="0"/>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 analytical method for serum selenium (Se) is based on inductively coupled plasma mass spectrometry (ICP-MS) using matrix-matched calibration standards. In this method, Se (isotope mass 78 and/or mass 80), and gallium (mass 69) are measured in serum by inductively coupled plasma dynamic reaction cell spectrometry using methane as reaction gas.</w:t>
            </w: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Strict adherence to quality control (QC) procedures outlined in the Protocol Text is recommended. Controls should be run at the beginning of the day, and then one control analyzed again after approximately each 10 patient samples, and then all QC controls are run at the end of each day’s run. Agreement with certified or accepted QC values should be within the </w:t>
            </w:r>
            <w:r w:rsidRPr="00AC58F3">
              <w:rPr>
                <w:rFonts w:ascii="Trebuchet MS" w:eastAsia="Times New Roman" w:hAnsi="Trebuchet MS" w:cs="Times New Roman"/>
                <w:color w:val="000000"/>
                <w:sz w:val="21"/>
                <w:szCs w:val="21"/>
                <w:u w:val="single"/>
              </w:rPr>
              <w:t>+</w:t>
            </w:r>
            <w:r w:rsidRPr="00AC58F3">
              <w:rPr>
                <w:rFonts w:ascii="Trebuchet MS" w:eastAsia="Times New Roman" w:hAnsi="Trebuchet MS" w:cs="Times New Roman"/>
                <w:color w:val="000000"/>
                <w:sz w:val="21"/>
                <w:szCs w:val="21"/>
              </w:rPr>
              <w:t>2 S.D. limits.</w:t>
            </w: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b/>
                <w:bCs/>
                <w:color w:val="000000"/>
                <w:sz w:val="21"/>
                <w:szCs w:val="21"/>
                <w:u w:val="single"/>
              </w:rPr>
              <w:t>1. Specimen Collection, Storage, and Handling Procedures; Criteria for Specimen Rejection </w:t>
            </w:r>
            <w:r w:rsidRPr="00AC58F3">
              <w:rPr>
                <w:rFonts w:ascii="Trebuchet MS" w:eastAsia="Times New Roman" w:hAnsi="Trebuchet MS" w:cs="Times New Roman"/>
                <w:color w:val="000000"/>
                <w:sz w:val="21"/>
                <w:szCs w:val="21"/>
              </w:rPr>
              <w:br/>
              <w:t xml:space="preserve">A. Specimen should be collected in a Red-Top tube that is prescreened for trace metal contamination. Specimen-type serum, optimal amount of specimen required is 2–3 mL, minimum volume required for analysis is about 0.8 </w:t>
            </w:r>
            <w:proofErr w:type="spellStart"/>
            <w:r w:rsidRPr="00AC58F3">
              <w:rPr>
                <w:rFonts w:ascii="Trebuchet MS" w:eastAsia="Times New Roman" w:hAnsi="Trebuchet MS" w:cs="Times New Roman"/>
                <w:color w:val="000000"/>
                <w:sz w:val="21"/>
                <w:szCs w:val="21"/>
              </w:rPr>
              <w:t>mL.</w:t>
            </w:r>
            <w:proofErr w:type="spellEnd"/>
            <w:r w:rsidRPr="00AC58F3">
              <w:rPr>
                <w:rFonts w:ascii="Trebuchet MS" w:eastAsia="Times New Roman" w:hAnsi="Trebuchet MS" w:cs="Times New Roman"/>
                <w:color w:val="000000"/>
                <w:sz w:val="21"/>
                <w:szCs w:val="21"/>
              </w:rPr>
              <w:br/>
              <w:t>B. Specimens may reach and maintain ambient temperature during analysis. Stringent precautions should be taken to avoid external contamination by the metals to be determined.</w:t>
            </w:r>
            <w:r w:rsidRPr="00AC58F3">
              <w:rPr>
                <w:rFonts w:ascii="Trebuchet MS" w:eastAsia="Times New Roman" w:hAnsi="Trebuchet MS" w:cs="Times New Roman"/>
                <w:color w:val="000000"/>
                <w:sz w:val="21"/>
                <w:szCs w:val="21"/>
              </w:rPr>
              <w:br/>
              <w:t>C. The criteria for unacceptable specimens are either a low volume (&lt;0.8 mL) or suspected contamination due to improper collection procedures or collection devices. In all cases, a second specimen should be requested.</w:t>
            </w:r>
            <w:r w:rsidRPr="00AC58F3">
              <w:rPr>
                <w:rFonts w:ascii="Trebuchet MS" w:eastAsia="Times New Roman" w:hAnsi="Trebuchet MS" w:cs="Times New Roman"/>
                <w:color w:val="000000"/>
                <w:sz w:val="21"/>
                <w:szCs w:val="21"/>
              </w:rPr>
              <w:br/>
              <w:t>D. Specimen characteristics that may compromise test results include contamination of serum by contact with dust, dirt, etc. from improper handling.</w:t>
            </w:r>
            <w:r w:rsidRPr="00AC58F3">
              <w:rPr>
                <w:rFonts w:ascii="Trebuchet MS" w:eastAsia="Times New Roman" w:hAnsi="Trebuchet MS" w:cs="Times New Roman"/>
                <w:color w:val="000000"/>
                <w:sz w:val="21"/>
                <w:szCs w:val="21"/>
              </w:rPr>
              <w:br/>
              <w:t>E. In general, serum specimens should be transported and stored at 4°C. Once received, they can be frozen at -20°C or at -70°C until time for analysis. Portions of the sample that remain after analytical aliquots are withdrawn and should be refrozen at -20°C. Samples thawed and refrozen several times are not compromised.</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b/>
                <w:bCs/>
                <w:color w:val="000000"/>
                <w:sz w:val="21"/>
                <w:szCs w:val="21"/>
                <w:u w:val="single"/>
              </w:rPr>
              <w:t>2. Detection Ranges</w:t>
            </w:r>
            <w:r w:rsidRPr="00AC58F3">
              <w:rPr>
                <w:rFonts w:ascii="Trebuchet MS" w:eastAsia="Times New Roman" w:hAnsi="Trebuchet MS" w:cs="Times New Roman"/>
                <w:color w:val="000000"/>
                <w:sz w:val="21"/>
                <w:szCs w:val="21"/>
              </w:rPr>
              <w:br/>
              <w:t>       Reference Ranges (Normal Values) adapted from National Committee for Clinical Laboratory Standards (NCCLS) 38A(3): Selenium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41"/>
              <w:gridCol w:w="855"/>
              <w:gridCol w:w="960"/>
            </w:tblGrid>
            <w:tr w:rsidR="005C5EE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u w:val="single"/>
                    </w:rPr>
                    <w: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u w:val="single"/>
                    </w:rPr>
                    <w:t>µg/L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u w:val="single"/>
                    </w:rPr>
                    <w:t>µ</w:t>
                  </w:r>
                  <w:proofErr w:type="spellStart"/>
                  <w:r w:rsidRPr="00AC58F3">
                    <w:rPr>
                      <w:rFonts w:ascii="Times New Roman" w:eastAsia="Times New Roman" w:hAnsi="Times New Roman" w:cs="Times New Roman"/>
                      <w:sz w:val="21"/>
                      <w:szCs w:val="21"/>
                      <w:u w:val="single"/>
                    </w:rPr>
                    <w:t>mol</w:t>
                  </w:r>
                  <w:proofErr w:type="spellEnd"/>
                  <w:r w:rsidRPr="00AC58F3">
                    <w:rPr>
                      <w:rFonts w:ascii="Times New Roman" w:eastAsia="Times New Roman" w:hAnsi="Times New Roman" w:cs="Times New Roman"/>
                      <w:sz w:val="21"/>
                      <w:szCs w:val="21"/>
                      <w:u w:val="single"/>
                    </w:rPr>
                    <w:t>/L</w:t>
                  </w:r>
                </w:p>
              </w:tc>
            </w:tr>
            <w:tr w:rsidR="005C5EE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Preterm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35–94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0.44–1.19</w:t>
                  </w:r>
                </w:p>
              </w:tc>
            </w:tr>
            <w:tr w:rsidR="005C5EE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Full Term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57–96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0.72–1.21</w:t>
                  </w:r>
                </w:p>
              </w:tc>
            </w:tr>
            <w:tr w:rsidR="005C5EE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1–5 years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96–144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1.22–1.82</w:t>
                  </w:r>
                </w:p>
              </w:tc>
            </w:tr>
            <w:tr w:rsidR="005C5EE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6–9 years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101–162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1.28–2.05</w:t>
                  </w:r>
                </w:p>
              </w:tc>
            </w:tr>
            <w:tr w:rsidR="005C5EE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10–16 years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103–186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1.31–2.35</w:t>
                  </w:r>
                </w:p>
              </w:tc>
            </w:tr>
            <w:tr w:rsidR="005C5EE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Adult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109–181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1.38–2.29</w:t>
                  </w:r>
                </w:p>
              </w:tc>
            </w:tr>
          </w:tbl>
          <w:p w:rsidR="005C5EEF" w:rsidRPr="00AC58F3" w:rsidRDefault="005C5EEF" w:rsidP="008853CD">
            <w:pPr>
              <w:spacing w:after="150" w:line="240" w:lineRule="auto"/>
              <w:rPr>
                <w:rFonts w:ascii="Trebuchet MS" w:eastAsia="Times New Roman" w:hAnsi="Trebuchet MS" w:cs="Times New Roman"/>
                <w:color w:val="000000"/>
                <w:sz w:val="21"/>
                <w:szCs w:val="21"/>
              </w:rPr>
            </w:pP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This assay is sensitive enough to be used to rapidly screen serum specimens from subjects for elements of toxic and nutritional interest. The protocol is taken from the standard procedure used by the Centers for Disease Control and Prevention (CDC) Elemental Analysis Laboratory for the National Health Examination Survey (NHANES).</w:t>
            </w: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Centers for Disease Control and Prevention, Division of Laboratory Sciences, National Center for Environmental Health Laboratory Procedure Manual for Serum Selenium, August 24, 2004.</w:t>
            </w:r>
            <w:r w:rsidRPr="00AC58F3">
              <w:rPr>
                <w:rFonts w:ascii="Trebuchet MS" w:eastAsia="Times New Roman" w:hAnsi="Trebuchet MS" w:cs="Times New Roman"/>
                <w:color w:val="000000"/>
                <w:sz w:val="21"/>
                <w:szCs w:val="21"/>
              </w:rPr>
              <w:br/>
              <w:t>                     </w:t>
            </w:r>
            <w:r w:rsidRPr="00AC58F3">
              <w:rPr>
                <w:rFonts w:ascii="Trebuchet MS" w:eastAsia="Times New Roman" w:hAnsi="Trebuchet MS" w:cs="Times New Roman"/>
                <w:color w:val="000000"/>
                <w:sz w:val="21"/>
                <w:szCs w:val="21"/>
              </w:rPr>
              <w:br/>
            </w:r>
            <w:proofErr w:type="spellStart"/>
            <w:r w:rsidRPr="00AC58F3">
              <w:rPr>
                <w:rFonts w:ascii="Trebuchet MS" w:eastAsia="Times New Roman" w:hAnsi="Trebuchet MS" w:cs="Times New Roman"/>
                <w:color w:val="000000"/>
                <w:sz w:val="21"/>
                <w:szCs w:val="21"/>
              </w:rPr>
              <w:t>Lockitch</w:t>
            </w:r>
            <w:proofErr w:type="spellEnd"/>
            <w:r w:rsidRPr="00AC58F3">
              <w:rPr>
                <w:rFonts w:ascii="Trebuchet MS" w:eastAsia="Times New Roman" w:hAnsi="Trebuchet MS" w:cs="Times New Roman"/>
                <w:color w:val="000000"/>
                <w:sz w:val="21"/>
                <w:szCs w:val="21"/>
              </w:rPr>
              <w:t xml:space="preserve">, G., </w:t>
            </w:r>
            <w:proofErr w:type="spellStart"/>
            <w:r w:rsidRPr="00AC58F3">
              <w:rPr>
                <w:rFonts w:ascii="Trebuchet MS" w:eastAsia="Times New Roman" w:hAnsi="Trebuchet MS" w:cs="Times New Roman"/>
                <w:color w:val="000000"/>
                <w:sz w:val="21"/>
                <w:szCs w:val="21"/>
              </w:rPr>
              <w:t>Fassett</w:t>
            </w:r>
            <w:proofErr w:type="spellEnd"/>
            <w:r w:rsidRPr="00AC58F3">
              <w:rPr>
                <w:rFonts w:ascii="Trebuchet MS" w:eastAsia="Times New Roman" w:hAnsi="Trebuchet MS" w:cs="Times New Roman"/>
                <w:color w:val="000000"/>
                <w:sz w:val="21"/>
                <w:szCs w:val="21"/>
              </w:rPr>
              <w:t xml:space="preserve">, J. D., </w:t>
            </w:r>
            <w:proofErr w:type="spellStart"/>
            <w:r w:rsidRPr="00AC58F3">
              <w:rPr>
                <w:rFonts w:ascii="Trebuchet MS" w:eastAsia="Times New Roman" w:hAnsi="Trebuchet MS" w:cs="Times New Roman"/>
                <w:color w:val="000000"/>
                <w:sz w:val="21"/>
                <w:szCs w:val="21"/>
              </w:rPr>
              <w:t>Gerson</w:t>
            </w:r>
            <w:proofErr w:type="spellEnd"/>
            <w:r w:rsidRPr="00AC58F3">
              <w:rPr>
                <w:rFonts w:ascii="Trebuchet MS" w:eastAsia="Times New Roman" w:hAnsi="Trebuchet MS" w:cs="Times New Roman"/>
                <w:color w:val="000000"/>
                <w:sz w:val="21"/>
                <w:szCs w:val="21"/>
              </w:rPr>
              <w:t>, B., Nixon, D. E., Parsons, P. J., &amp; Savory, J. (1997). </w:t>
            </w:r>
            <w:r w:rsidRPr="00AC58F3">
              <w:rPr>
                <w:rFonts w:ascii="Trebuchet MS" w:eastAsia="Times New Roman" w:hAnsi="Trebuchet MS" w:cs="Times New Roman"/>
                <w:i/>
                <w:iCs/>
                <w:color w:val="000000"/>
                <w:sz w:val="21"/>
                <w:szCs w:val="21"/>
              </w:rPr>
              <w:t>Control of pre-analytical variation in trace element determinations; Approved guideline</w:t>
            </w:r>
            <w:r w:rsidRPr="00AC58F3">
              <w:rPr>
                <w:rFonts w:ascii="Trebuchet MS" w:eastAsia="Times New Roman" w:hAnsi="Trebuchet MS" w:cs="Times New Roman"/>
                <w:color w:val="000000"/>
                <w:sz w:val="21"/>
                <w:szCs w:val="21"/>
              </w:rPr>
              <w:t> (NCCLS document C38-A). Wayne, PA: National Committee for Clinical Laboratory Standards.</w:t>
            </w: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English</w:t>
            </w: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All ages</w:t>
            </w: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Must complete safety training seminars prior to performing any work in the Lead Poisoning/Trace Elements Laboratory.</w:t>
            </w: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Highly specialized equipment is necessary to perform accurate selenium measurements.</w:t>
            </w: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9"/>
              <w:gridCol w:w="2110"/>
              <w:gridCol w:w="855"/>
              <w:gridCol w:w="1305"/>
            </w:tblGrid>
            <w:tr w:rsidR="005C5EEF" w:rsidRPr="00AC58F3" w:rsidTr="008853CD">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Source</w:t>
                  </w:r>
                </w:p>
              </w:tc>
            </w:tr>
            <w:tr w:rsidR="005C5EE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Person Serum Selenium Level Number</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2946951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E94824" w:rsidP="008853CD">
                  <w:pPr>
                    <w:spacing w:after="150" w:line="240" w:lineRule="auto"/>
                    <w:rPr>
                      <w:rFonts w:ascii="Times New Roman" w:eastAsia="Times New Roman" w:hAnsi="Times New Roman" w:cs="Times New Roman"/>
                      <w:sz w:val="21"/>
                      <w:szCs w:val="21"/>
                    </w:rPr>
                  </w:pPr>
                  <w:hyperlink r:id="rId5" w:tgtFrame="blank" w:history="1">
                    <w:r w:rsidR="005C5EEF" w:rsidRPr="00AC58F3">
                      <w:rPr>
                        <w:rFonts w:ascii="Times New Roman" w:eastAsia="Times New Roman" w:hAnsi="Times New Roman" w:cs="Times New Roman"/>
                        <w:color w:val="0000FF"/>
                        <w:sz w:val="21"/>
                        <w:szCs w:val="21"/>
                        <w:u w:val="single"/>
                      </w:rPr>
                      <w:t>CDE Browser</w:t>
                    </w:r>
                  </w:hyperlink>
                </w:p>
              </w:tc>
            </w:tr>
            <w:tr w:rsidR="005C5EE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proofErr w:type="spellStart"/>
                  <w:r w:rsidRPr="00AC58F3">
                    <w:rPr>
                      <w:rFonts w:ascii="Times New Roman" w:eastAsia="Times New Roman" w:hAnsi="Times New Roman" w:cs="Times New Roman"/>
                      <w:sz w:val="21"/>
                      <w:szCs w:val="21"/>
                    </w:rPr>
                    <w:t>PhenX</w:t>
                  </w:r>
                  <w:proofErr w:type="spellEnd"/>
                  <w:r w:rsidRPr="00AC58F3">
                    <w:rPr>
                      <w:rFonts w:ascii="Times New Roman" w:eastAsia="Times New Roman" w:hAnsi="Times New Roman" w:cs="Times New Roman"/>
                      <w:sz w:val="21"/>
                      <w:szCs w:val="21"/>
                    </w:rPr>
                    <w:t xml:space="preserve"> - selenium protocol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62287-8</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E94824" w:rsidP="008853CD">
                  <w:pPr>
                    <w:spacing w:after="150" w:line="240" w:lineRule="auto"/>
                    <w:rPr>
                      <w:rFonts w:ascii="Times New Roman" w:eastAsia="Times New Roman" w:hAnsi="Times New Roman" w:cs="Times New Roman"/>
                      <w:sz w:val="21"/>
                      <w:szCs w:val="21"/>
                    </w:rPr>
                  </w:pPr>
                  <w:hyperlink r:id="rId6" w:tgtFrame="blank" w:history="1">
                    <w:r w:rsidR="005C5EEF" w:rsidRPr="00AC58F3">
                      <w:rPr>
                        <w:rFonts w:ascii="Times New Roman" w:eastAsia="Times New Roman" w:hAnsi="Times New Roman" w:cs="Times New Roman"/>
                        <w:color w:val="0000FF"/>
                        <w:sz w:val="21"/>
                        <w:szCs w:val="21"/>
                        <w:u w:val="single"/>
                      </w:rPr>
                      <w:t>LOINC</w:t>
                    </w:r>
                  </w:hyperlink>
                </w:p>
              </w:tc>
            </w:tr>
          </w:tbl>
          <w:p w:rsidR="005C5EEF" w:rsidRPr="00AC58F3" w:rsidRDefault="005C5EEF" w:rsidP="008853CD">
            <w:pPr>
              <w:spacing w:after="150" w:line="240" w:lineRule="auto"/>
              <w:rPr>
                <w:rFonts w:ascii="Trebuchet MS" w:eastAsia="Times New Roman" w:hAnsi="Trebuchet MS" w:cs="Times New Roman"/>
                <w:color w:val="000000"/>
                <w:sz w:val="21"/>
                <w:szCs w:val="21"/>
              </w:rPr>
            </w:pP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Office of Dietary Supplements, National Institutes of Health Dietary Supplement Fact Sheet: Selenium.</w:t>
            </w:r>
            <w:r w:rsidRPr="00AC58F3">
              <w:rPr>
                <w:rFonts w:ascii="Trebuchet MS" w:eastAsia="Times New Roman" w:hAnsi="Trebuchet MS" w:cs="Times New Roman"/>
                <w:color w:val="000000"/>
                <w:sz w:val="21"/>
                <w:szCs w:val="21"/>
              </w:rPr>
              <w:br/>
              <w:t>                     </w:t>
            </w:r>
            <w:r w:rsidRPr="00AC58F3">
              <w:rPr>
                <w:rFonts w:ascii="Trebuchet MS" w:eastAsia="Times New Roman" w:hAnsi="Trebuchet MS" w:cs="Times New Roman"/>
                <w:color w:val="000000"/>
                <w:sz w:val="21"/>
                <w:szCs w:val="21"/>
              </w:rPr>
              <w:br/>
              <w:t>Thomson, C. D. (2004). Assessment of requirements for selenium and adequacy of selenium status: A review. </w:t>
            </w:r>
            <w:r w:rsidRPr="00AC58F3">
              <w:rPr>
                <w:rFonts w:ascii="Trebuchet MS" w:eastAsia="Times New Roman" w:hAnsi="Trebuchet MS" w:cs="Times New Roman"/>
                <w:i/>
                <w:iCs/>
                <w:color w:val="000000"/>
                <w:sz w:val="21"/>
                <w:szCs w:val="21"/>
              </w:rPr>
              <w:t>European Journal of Clinical Nutrition, 58,</w:t>
            </w:r>
            <w:r w:rsidRPr="00AC58F3">
              <w:rPr>
                <w:rFonts w:ascii="Trebuchet MS" w:eastAsia="Times New Roman" w:hAnsi="Trebuchet MS" w:cs="Times New Roman"/>
                <w:color w:val="000000"/>
                <w:sz w:val="21"/>
                <w:szCs w:val="21"/>
              </w:rPr>
              <w:t> 391–402.</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lastRenderedPageBreak/>
              <w:br/>
              <w:t xml:space="preserve">Combs, G., Jr., &amp; Gray, W. P. (1998). </w:t>
            </w:r>
            <w:proofErr w:type="spellStart"/>
            <w:r w:rsidRPr="00AC58F3">
              <w:rPr>
                <w:rFonts w:ascii="Trebuchet MS" w:eastAsia="Times New Roman" w:hAnsi="Trebuchet MS" w:cs="Times New Roman"/>
                <w:color w:val="000000"/>
                <w:sz w:val="21"/>
                <w:szCs w:val="21"/>
              </w:rPr>
              <w:t>Chemopreventive</w:t>
            </w:r>
            <w:proofErr w:type="spellEnd"/>
            <w:r w:rsidRPr="00AC58F3">
              <w:rPr>
                <w:rFonts w:ascii="Trebuchet MS" w:eastAsia="Times New Roman" w:hAnsi="Trebuchet MS" w:cs="Times New Roman"/>
                <w:color w:val="000000"/>
                <w:sz w:val="21"/>
                <w:szCs w:val="21"/>
              </w:rPr>
              <w:t xml:space="preserve"> agents: Selenium. </w:t>
            </w:r>
            <w:r w:rsidRPr="00AC58F3">
              <w:rPr>
                <w:rFonts w:ascii="Trebuchet MS" w:eastAsia="Times New Roman" w:hAnsi="Trebuchet MS" w:cs="Times New Roman"/>
                <w:i/>
                <w:iCs/>
                <w:color w:val="000000"/>
                <w:sz w:val="21"/>
                <w:szCs w:val="21"/>
              </w:rPr>
              <w:t>Pharmacology and Therapeutics, 79,</w:t>
            </w:r>
            <w:r w:rsidRPr="00AC58F3">
              <w:rPr>
                <w:rFonts w:ascii="Trebuchet MS" w:eastAsia="Times New Roman" w:hAnsi="Trebuchet MS" w:cs="Times New Roman"/>
                <w:color w:val="000000"/>
                <w:sz w:val="21"/>
                <w:szCs w:val="21"/>
              </w:rPr>
              <w:t> 179–192.</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McKenzie, R. C., Rafferty, T. S., &amp; Beckett, G. J. (1998). Selenium: An essential element for immune function. </w:t>
            </w:r>
            <w:r w:rsidRPr="00AC58F3">
              <w:rPr>
                <w:rFonts w:ascii="Trebuchet MS" w:eastAsia="Times New Roman" w:hAnsi="Trebuchet MS" w:cs="Times New Roman"/>
                <w:i/>
                <w:iCs/>
                <w:color w:val="000000"/>
                <w:sz w:val="21"/>
                <w:szCs w:val="21"/>
              </w:rPr>
              <w:t>Immunology Today, 19,</w:t>
            </w:r>
            <w:r w:rsidRPr="00AC58F3">
              <w:rPr>
                <w:rFonts w:ascii="Trebuchet MS" w:eastAsia="Times New Roman" w:hAnsi="Trebuchet MS" w:cs="Times New Roman"/>
                <w:color w:val="000000"/>
                <w:sz w:val="21"/>
                <w:szCs w:val="21"/>
              </w:rPr>
              <w:t> 342–345.</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Centers for Disease Control and Prevention, National Center for Health Statistics. National Health and Nutrition Examination Survey (NHANES) Overview 2007–2008.</w:t>
            </w: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lastRenderedPageBreak/>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Bioassay</w:t>
            </w: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None</w:t>
            </w:r>
          </w:p>
        </w:tc>
      </w:tr>
      <w:tr w:rsidR="005C5EE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5C5EEF" w:rsidRPr="00AC58F3" w:rsidTr="008853CD">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Required</w:t>
                  </w:r>
                </w:p>
              </w:tc>
            </w:tr>
            <w:tr w:rsidR="005C5EE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Average time of greater than 15 minutes in an unaffected individual</w:t>
                  </w:r>
                </w:p>
                <w:p w:rsidR="005C5EEF" w:rsidRPr="00AC58F3" w:rsidRDefault="005C5EEF"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r w:rsidR="005C5EE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Major equipment</w:t>
                  </w:r>
                </w:p>
                <w:p w:rsidR="005C5EEF" w:rsidRPr="00AC58F3" w:rsidRDefault="005C5EEF"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Yes</w:t>
                  </w:r>
                </w:p>
              </w:tc>
            </w:tr>
            <w:tr w:rsidR="005C5EE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 xml:space="preserve">Specialized requirements for </w:t>
                  </w:r>
                  <w:proofErr w:type="spellStart"/>
                  <w:r w:rsidRPr="00AC58F3">
                    <w:rPr>
                      <w:rFonts w:ascii="Times New Roman" w:eastAsia="Times New Roman" w:hAnsi="Times New Roman" w:cs="Times New Roman"/>
                      <w:sz w:val="21"/>
                      <w:szCs w:val="21"/>
                    </w:rPr>
                    <w:t>biospecimen</w:t>
                  </w:r>
                  <w:proofErr w:type="spellEnd"/>
                  <w:r w:rsidRPr="00AC58F3">
                    <w:rPr>
                      <w:rFonts w:ascii="Times New Roman" w:eastAsia="Times New Roman" w:hAnsi="Times New Roman" w:cs="Times New Roman"/>
                      <w:sz w:val="21"/>
                      <w:szCs w:val="21"/>
                    </w:rPr>
                    <w:t xml:space="preserve"> collection</w:t>
                  </w:r>
                </w:p>
                <w:p w:rsidR="005C5EEF" w:rsidRPr="00AC58F3" w:rsidRDefault="005C5EEF"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r w:rsidR="005C5EE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Specialized training</w:t>
                  </w:r>
                </w:p>
                <w:p w:rsidR="005C5EEF" w:rsidRPr="00AC58F3" w:rsidRDefault="005C5EEF"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C5EEF" w:rsidRPr="00AC58F3" w:rsidRDefault="005C5EE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bl>
          <w:p w:rsidR="005C5EEF" w:rsidRPr="00AC58F3" w:rsidRDefault="005C5EEF" w:rsidP="008853CD">
            <w:pPr>
              <w:spacing w:after="150" w:line="240" w:lineRule="auto"/>
              <w:rPr>
                <w:rFonts w:ascii="Trebuchet MS" w:eastAsia="Times New Roman" w:hAnsi="Trebuchet MS" w:cs="Times New Roman"/>
                <w:color w:val="000000"/>
                <w:sz w:val="21"/>
                <w:szCs w:val="21"/>
              </w:rPr>
            </w:pPr>
          </w:p>
        </w:tc>
      </w:tr>
    </w:tbl>
    <w:p w:rsidR="008C7A7B" w:rsidRPr="005C5EEF" w:rsidRDefault="005C5EEF" w:rsidP="005C5EEF">
      <w:r w:rsidRPr="00AC58F3">
        <w:rPr>
          <w:rFonts w:ascii="Trebuchet MS" w:eastAsia="Times New Roman" w:hAnsi="Trebuchet MS" w:cs="Times New Roman"/>
          <w:color w:val="000000"/>
          <w:sz w:val="21"/>
          <w:szCs w:val="21"/>
        </w:rPr>
        <w:br/>
      </w:r>
    </w:p>
    <w:sectPr w:rsidR="008C7A7B" w:rsidRPr="005C5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5F70"/>
    <w:multiLevelType w:val="multilevel"/>
    <w:tmpl w:val="082E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D070B"/>
    <w:multiLevelType w:val="multilevel"/>
    <w:tmpl w:val="D788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8"/>
  </w:num>
  <w:num w:numId="4">
    <w:abstractNumId w:val="4"/>
  </w:num>
  <w:num w:numId="5">
    <w:abstractNumId w:val="7"/>
  </w:num>
  <w:num w:numId="6">
    <w:abstractNumId w:val="1"/>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B"/>
    <w:rsid w:val="000820D3"/>
    <w:rsid w:val="00145A49"/>
    <w:rsid w:val="001C3760"/>
    <w:rsid w:val="004E0C9F"/>
    <w:rsid w:val="005C088D"/>
    <w:rsid w:val="005C5EEF"/>
    <w:rsid w:val="007C3432"/>
    <w:rsid w:val="00840AA2"/>
    <w:rsid w:val="008C7A7B"/>
    <w:rsid w:val="00C537E3"/>
    <w:rsid w:val="00CF5B9B"/>
    <w:rsid w:val="00E94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399B-F5B3-4B7E-91F1-1540396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NormalWeb">
    <w:name w:val="Normal (Web)"/>
    <w:basedOn w:val="Normal"/>
    <w:uiPriority w:val="99"/>
    <w:semiHidden/>
    <w:unhideWhenUsed/>
    <w:rsid w:val="007C34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287-8.html?sections=Web" TargetMode="External"/><Relationship Id="rId5" Type="http://schemas.openxmlformats.org/officeDocument/2006/relationships/hyperlink" Target="https://cdebrowser.nci.nih.gov/CDEBrowser/search?elementDetails=9&amp;FirstTimer=0&amp;PageId=ElementDetailsGroup&amp;publicId=2946951&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2015-09-16T01:08:00Z</dcterms:created>
  <dcterms:modified xsi:type="dcterms:W3CDTF">2015-09-16T17:23:00Z</dcterms:modified>
</cp:coreProperties>
</file>