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theme/theme1.xml" ContentType="application/vnd.openxmlformats-officedocument.theme+xml"/>
</Types>
</file>

<file path=_rels/.rels>&#65279;<?xml version="1.0" encoding="utf-8"?><Relationships xmlns="http://schemas.openxmlformats.org/package/2006/relationships"><Relationship Id="R18A0F881" Type="http://schemas.openxmlformats.org/officeDocument/2006/relationships/officeDocument" Target="/word/document.xml" /><Relationship Id="coreR18A0F881"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Measure</w:t>
            </w:r>
          </w:p>
        </w:tc>
      </w:tr>
      <w:tr>
        <w:tc>
          <w:tcPr>
            <w:tcW w:w="1000" w:type="pct"/>
            <w:vAlign w:val="center"/>
          </w:tcPr>
          <w:p>
            <w:pPr>
              <w:spacing w:before="240" w:after="240"/>
              <w:ind w:left="0" w:right="0"/>
              <w:rPr>
                <w:rFonts w:ascii="Arial" w:hAnsi="Arial"/>
                <w:sz w:val="21"/>
              </w:rPr>
            </w:pPr>
            <w:r>
              <w:rPr>
                <w:rFonts w:ascii="Arial" w:hAnsi="Arial"/>
                <w:b w:val="1"/>
                <w:sz w:val="21"/>
              </w:rPr>
              <w:t>Protocol Id</w:t>
            </w:r>
          </w:p>
        </w:tc>
        <w:tc>
          <w:tcPr>
            <w:tcW w:w="0" w:type="auto"/>
            <w:vAlign w:val="center"/>
          </w:tcPr>
          <w:p>
            <w:pPr>
              <w:spacing w:before="240" w:after="240"/>
              <w:ind w:left="0" w:right="0"/>
              <w:rPr>
                <w:rFonts w:ascii="Arial" w:hAnsi="Arial"/>
                <w:sz w:val="21"/>
              </w:rPr>
            </w:pPr>
            <w:r>
              <w:rPr>
                <w:rFonts w:ascii="Arial" w:hAnsi="Arial"/>
                <w:sz w:val="21"/>
              </w:rPr>
              <w:t>290401</w:t>
            </w:r>
          </w:p>
        </w:tc>
      </w:tr>
      <w:tr>
        <w:tc>
          <w:tcPr>
            <w:tcW w:w="1000" w:type="pct"/>
            <w:vAlign w:val="center"/>
          </w:tcPr>
          <w:p>
            <w:pPr>
              <w:spacing w:before="240" w:after="240"/>
              <w:ind w:left="0" w:right="0"/>
              <w:rPr>
                <w:rFonts w:ascii="Arial" w:hAnsi="Arial"/>
                <w:sz w:val="21"/>
              </w:rPr>
            </w:pPr>
            <w:r>
              <w:rPr>
                <w:rFonts w:ascii="Arial" w:hAnsi="Arial"/>
                <w:b w:val="1"/>
                <w:sz w:val="21"/>
              </w:rPr>
              <w:t>Domain:</w:t>
            </w:r>
          </w:p>
        </w:tc>
        <w:tc>
          <w:tcPr>
            <w:tcW w:w="0" w:type="auto"/>
            <w:vAlign w:val="center"/>
          </w:tcPr>
          <w:p>
            <w:pPr>
              <w:ind w:left="0" w:right="0"/>
            </w:pPr>
            <w:r>
              <w:rPr>
                <w:rFonts w:ascii="Arial" w:hAnsi="Arial"/>
                <w:sz w:val="21"/>
              </w:rPr>
              <w:t xml:space="preserve">Social Determinants of Health: Structural Specialty Collection </w:t>
            </w:r>
          </w:p>
        </w:tc>
      </w:tr>
      <w:tr>
        <w:tc>
          <w:tcPr>
            <w:tcW w:w="1000" w:type="pct"/>
            <w:vAlign w:val="center"/>
          </w:tcPr>
          <w:p>
            <w:pPr>
              <w:spacing w:before="240" w:after="240"/>
              <w:ind w:left="0" w:right="0"/>
              <w:rPr>
                <w:rFonts w:ascii="Arial" w:hAnsi="Arial"/>
                <w:sz w:val="21"/>
              </w:rPr>
            </w:pPr>
            <w:r>
              <w:rPr>
                <w:rFonts w:ascii="Arial" w:hAnsi="Arial"/>
                <w:b w:val="1"/>
                <w:sz w:val="21"/>
              </w:rPr>
              <w:t>Measure:</w:t>
            </w:r>
          </w:p>
        </w:tc>
        <w:tc>
          <w:tcPr>
            <w:tcW w:w="0" w:type="auto"/>
            <w:vAlign w:val="center"/>
          </w:tcPr>
          <w:p>
            <w:pPr>
              <w:ind w:left="0" w:right="0"/>
            </w:pPr>
            <w:r>
              <w:rPr>
                <w:rFonts w:ascii="Arial" w:hAnsi="Arial"/>
                <w:sz w:val="21"/>
              </w:rPr>
              <w:t xml:space="preserve">Environmental Justice </w:t>
            </w:r>
          </w:p>
        </w:tc>
      </w:tr>
      <w:tr>
        <w:tc>
          <w:tcPr>
            <w:tcW w:w="1000" w:type="pct"/>
            <w:vAlign w:val="center"/>
          </w:tcPr>
          <w:p>
            <w:pPr>
              <w:spacing w:before="240" w:after="240"/>
              <w:ind w:left="0" w:right="0"/>
              <w:rPr>
                <w:rFonts w:ascii="Arial" w:hAnsi="Arial"/>
                <w:sz w:val="21"/>
              </w:rPr>
            </w:pPr>
            <w:r>
              <w:rPr>
                <w:rFonts w:ascii="Arial" w:hAnsi="Arial"/>
                <w:b w:val="1"/>
                <w:sz w:val="21"/>
              </w:rPr>
              <w:t>Definition:</w:t>
            </w:r>
          </w:p>
        </w:tc>
        <w:tc>
          <w:tcPr>
            <w:tcW w:w="0" w:type="auto"/>
            <w:vAlign w:val="center"/>
          </w:tcPr>
          <w:p>
            <w:pPr>
              <w:ind w:left="0" w:right="0"/>
            </w:pPr>
            <w:r>
              <w:rPr>
                <w:rFonts w:ascii="Arial" w:hAnsi="Arial"/>
                <w:sz w:val="21"/>
              </w:rPr>
              <w:t xml:space="preserve">The Environmental Justice Screening and Mapping Tool (EJSCREEN) is created using nationwide constant data and an approach that combines environmental and demographic indicators in maps and reports. </w:t>
            </w:r>
          </w:p>
        </w:tc>
      </w:tr>
      <w:tr>
        <w:tc>
          <w:tcPr>
            <w:tcW w:w="1000" w:type="pct"/>
            <w:vAlign w:val="center"/>
          </w:tcPr>
          <w:p>
            <w:pPr>
              <w:spacing w:before="240" w:after="240"/>
              <w:ind w:left="0" w:right="0"/>
              <w:rPr>
                <w:rFonts w:ascii="Arial" w:hAnsi="Arial"/>
                <w:sz w:val="21"/>
              </w:rPr>
            </w:pPr>
            <w:r>
              <w:rPr>
                <w:rFonts w:ascii="Arial" w:hAnsi="Arial"/>
                <w:b w:val="1"/>
                <w:sz w:val="21"/>
              </w:rPr>
              <w:t>Purpose:</w:t>
            </w:r>
          </w:p>
        </w:tc>
        <w:tc>
          <w:tcPr>
            <w:tcW w:w="0" w:type="auto"/>
            <w:vAlign w:val="center"/>
          </w:tcPr>
          <w:p>
            <w:pPr>
              <w:spacing w:before="240" w:after="240"/>
              <w:ind w:left="0" w:right="0"/>
              <w:rPr>
                <w:rFonts w:ascii="Arial" w:hAnsi="Arial"/>
                <w:sz w:val="21"/>
              </w:rPr>
            </w:pPr>
            <w:r>
              <w:rPr>
                <w:rFonts w:ascii="Arial" w:hAnsi="Arial"/>
                <w:sz w:val="21"/>
              </w:rPr>
              <w:t>The Environmental Justice Screening and Mapping Tool (EJSCREEN) allows users to access environmental and demographic information for locations in the United States at the census block level. Users can compare selected locations with the rest of the state, Environmental Protection Agency region, or the nation.</w:t>
            </w:r>
          </w:p>
          <w:p>
            <w:pPr>
              <w:spacing w:before="240" w:after="240"/>
              <w:ind w:left="0" w:right="0"/>
              <w:rPr>
                <w:rFonts w:ascii="Arial" w:hAnsi="Arial"/>
                <w:sz w:val="21"/>
              </w:rPr>
            </w:pPr>
            <w:r>
              <w:rPr>
                <w:rFonts w:ascii="Arial" w:hAnsi="Arial"/>
                <w:sz w:val="21"/>
              </w:rPr>
              <w:t>EJSCREEN can help highlight geographic areas and the extent to which these areas may be candidates for further review, including additional consideration, analysis, or outreach. The tools also allow users to explore locations at a detailed geographic level, across broad areas, or across the entire nation.</w:t>
            </w:r>
          </w:p>
        </w:tc>
      </w:tr>
      <w:tr>
        <w:tc>
          <w:tcPr>
            <w:tcW w:w="1000" w:type="pct"/>
            <w:vAlign w:val="center"/>
          </w:tcPr>
          <w:p>
            <w:pPr>
              <w:spacing w:before="240" w:after="240"/>
              <w:ind w:left="0" w:right="0"/>
              <w:rPr>
                <w:rFonts w:ascii="Arial" w:hAnsi="Arial"/>
                <w:sz w:val="21"/>
              </w:rPr>
            </w:pPr>
            <w:r>
              <w:rPr>
                <w:rFonts w:ascii="Arial" w:hAnsi="Arial"/>
                <w:b w:val="1"/>
                <w:sz w:val="21"/>
              </w:rPr>
              <w:t>Essential PhenX Protocols:</w:t>
            </w:r>
          </w:p>
        </w:tc>
        <w:tc>
          <w:tcPr>
            <w:tcW w:w="0" w:type="auto"/>
            <w:vAlign w:val="center"/>
          </w:tcPr>
          <w:p>
            <w:pPr>
              <w:ind w:left="0" w:right="0"/>
            </w:pPr>
            <w:r>
              <w:rPr>
                <w:rFonts w:ascii="Arial" w:hAnsi="Arial"/>
                <w:sz w:val="21"/>
              </w:rPr>
              <w:t>Current Address [10801]</w:t>
              <w:br w:type="textWrapping"/>
              <w:t xml:space="preserve">Current Address [10802] </w:t>
            </w:r>
          </w:p>
        </w:tc>
      </w:tr>
      <w:tr>
        <w:tc>
          <w:tcPr>
            <w:tcW w:w="1000" w:type="pct"/>
            <w:vAlign w:val="center"/>
          </w:tcPr>
          <w:p>
            <w:pPr>
              <w:spacing w:before="240" w:after="240"/>
              <w:ind w:left="0" w:right="0"/>
              <w:rPr>
                <w:rFonts w:ascii="Arial" w:hAnsi="Arial"/>
                <w:sz w:val="21"/>
              </w:rPr>
            </w:pPr>
            <w:r>
              <w:rPr>
                <w:rFonts w:ascii="Arial" w:hAnsi="Arial"/>
                <w:b w:val="1"/>
                <w:sz w:val="21"/>
              </w:rPr>
              <w:t>Related PhenX Protocols:</w:t>
            </w:r>
          </w:p>
        </w:tc>
        <w:tc>
          <w:tcPr>
            <w:tcW w:w="0" w:type="auto"/>
            <w:vAlign w:val="center"/>
          </w:tcPr>
          <w:p>
            <w:pPr>
              <w:ind w:left="0" w:right="0"/>
            </w:pPr>
            <w:r>
              <w:rPr>
                <w:rFonts w:ascii="Arial" w:hAnsi="Arial"/>
                <w:sz w:val="21"/>
              </w:rPr>
              <w:t>Healthy Food Environments [210701]</w:t>
              <w:br w:type="textWrapping"/>
              <w:t>School Social Environment [211001]</w:t>
              <w:br w:type="textWrapping"/>
              <w:t>Neighborhood Concentrated Disadvantage [211301]</w:t>
              <w:br w:type="textWrapping"/>
              <w:t xml:space="preserve">Neighborhood Concentrated Disadvantage [211302] </w:t>
            </w:r>
          </w:p>
        </w:tc>
      </w:tr>
      <w:tr>
        <w:tc>
          <w:tcPr>
            <w:tcW w:w="1000" w:type="pct"/>
            <w:vAlign w:val="center"/>
          </w:tcPr>
          <w:p>
            <w:pPr>
              <w:spacing w:before="240" w:after="240"/>
              <w:ind w:left="0" w:right="0"/>
              <w:rPr>
                <w:rFonts w:ascii="Arial" w:hAnsi="Arial"/>
                <w:sz w:val="21"/>
              </w:rPr>
            </w:pPr>
            <w:r>
              <w:rPr>
                <w:rFonts w:ascii="Arial" w:hAnsi="Arial"/>
                <w:b w:val="1"/>
                <w:sz w:val="21"/>
              </w:rPr>
              <w:t>Measure Release Date:</w:t>
            </w:r>
          </w:p>
        </w:tc>
        <w:tc>
          <w:tcPr>
            <w:tcW w:w="0" w:type="auto"/>
            <w:vAlign w:val="center"/>
          </w:tcPr>
          <w:p>
            <w:pPr>
              <w:ind w:left="0" w:right="0"/>
            </w:pPr>
            <w:r>
              <w:rPr>
                <w:rFonts w:ascii="Arial" w:hAnsi="Arial"/>
                <w:sz w:val="21"/>
              </w:rPr>
              <w:t xml:space="preserve">May 11, 2020 </w:t>
            </w:r>
          </w:p>
        </w:tc>
      </w:tr>
    </w:tbl>
    <w:p>
      <w:pPr>
        <w:spacing w:before="0" w:after="0"/>
        <w:ind w:firstLine="0" w:left="0" w:right="0"/>
      </w:pPr>
      <w:r>
        <w:br w:type="textWrapping"/>
      </w:r>
    </w:p>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Protocol</w:t>
            </w:r>
          </w:p>
        </w:tc>
      </w:tr>
      <w:tr>
        <w:tc>
          <w:tcPr>
            <w:tcW w:w="1000" w:type="pct"/>
            <w:vAlign w:val="center"/>
          </w:tcPr>
          <w:p>
            <w:pPr>
              <w:spacing w:before="240" w:after="240"/>
              <w:ind w:left="0" w:right="0"/>
              <w:rPr>
                <w:rFonts w:ascii="Arial" w:hAnsi="Arial"/>
                <w:sz w:val="21"/>
              </w:rPr>
            </w:pPr>
            <w:r>
              <w:rPr>
                <w:rFonts w:ascii="Arial" w:hAnsi="Arial"/>
                <w:b w:val="1"/>
                <w:sz w:val="21"/>
              </w:rPr>
              <w:t>Protocol Release Date:</w:t>
            </w:r>
          </w:p>
        </w:tc>
        <w:tc>
          <w:tcPr>
            <w:tcW w:w="0" w:type="auto"/>
            <w:vAlign w:val="center"/>
          </w:tcPr>
          <w:p>
            <w:pPr>
              <w:ind w:left="0" w:right="0"/>
            </w:pPr>
            <w:r>
              <w:rPr>
                <w:rFonts w:ascii="Arial" w:hAnsi="Arial"/>
                <w:sz w:val="21"/>
              </w:rPr>
              <w:t xml:space="preserve">May 11, 2020 </w:t>
            </w:r>
          </w:p>
        </w:tc>
      </w:tr>
      <w:tr>
        <w:tc>
          <w:tcPr>
            <w:tcW w:w="1000" w:type="pct"/>
            <w:vAlign w:val="center"/>
          </w:tcPr>
          <w:p>
            <w:pPr>
              <w:spacing w:before="240" w:after="240"/>
              <w:ind w:left="0" w:right="0"/>
              <w:rPr>
                <w:rFonts w:ascii="Arial" w:hAnsi="Arial"/>
                <w:sz w:val="21"/>
              </w:rPr>
            </w:pPr>
            <w:r>
              <w:rPr>
                <w:rFonts w:ascii="Arial" w:hAnsi="Arial"/>
                <w:b w:val="1"/>
                <w:sz w:val="21"/>
              </w:rPr>
              <w:t>Protocol Review Date:</w:t>
            </w:r>
          </w:p>
        </w:tc>
        <w:tc>
          <w:tcPr>
            <w:tcW w:w="0" w:type="auto"/>
            <w:vAlign w:val="center"/>
          </w:tcPr>
          <w:p>
            <w:pPr>
              <w:ind w:left="0" w:right="0"/>
            </w:pPr>
            <w:r>
              <w:rPr>
                <w:rFonts w:ascii="Arial" w:hAnsi="Arial"/>
                <w:sz w:val="21"/>
              </w:rPr>
              <w:t xml:space="preserve">NA </w:t>
            </w:r>
          </w:p>
        </w:tc>
      </w:tr>
      <w:tr>
        <w:tc>
          <w:tcPr>
            <w:tcW w:w="1000" w:type="pct"/>
            <w:vAlign w:val="center"/>
          </w:tcPr>
          <w:p>
            <w:pPr>
              <w:spacing w:before="240" w:after="240"/>
              <w:ind w:left="0" w:right="0"/>
              <w:rPr>
                <w:rFonts w:ascii="Arial" w:hAnsi="Arial"/>
                <w:sz w:val="21"/>
              </w:rPr>
            </w:pPr>
            <w:r>
              <w:rPr>
                <w:rFonts w:ascii="Arial" w:hAnsi="Arial"/>
                <w:b w:val="1"/>
                <w:sz w:val="21"/>
              </w:rPr>
              <w:t>PhenX Protocol Name:</w:t>
            </w:r>
          </w:p>
        </w:tc>
        <w:tc>
          <w:tcPr>
            <w:tcW w:w="0" w:type="auto"/>
            <w:vAlign w:val="center"/>
          </w:tcPr>
          <w:p>
            <w:pPr>
              <w:ind w:left="0" w:right="0"/>
            </w:pPr>
            <w:r>
              <w:rPr>
                <w:rFonts w:ascii="Arial" w:hAnsi="Arial"/>
                <w:sz w:val="21"/>
              </w:rPr>
              <w:t xml:space="preserve">Environmental Justice </w:t>
            </w:r>
          </w:p>
        </w:tc>
      </w:tr>
      <w:tr>
        <w:tc>
          <w:tcPr>
            <w:tcW w:w="1000" w:type="pct"/>
            <w:vAlign w:val="center"/>
          </w:tcPr>
          <w:p>
            <w:pPr>
              <w:spacing w:before="240" w:after="240"/>
              <w:ind w:left="0" w:right="0"/>
              <w:rPr>
                <w:rFonts w:ascii="Arial" w:hAnsi="Arial"/>
                <w:sz w:val="21"/>
              </w:rPr>
            </w:pPr>
            <w:r>
              <w:rPr>
                <w:rFonts w:ascii="Arial" w:hAnsi="Arial"/>
                <w:b w:val="1"/>
                <w:sz w:val="21"/>
              </w:rPr>
              <w:t>Protocol Name From Source:</w:t>
            </w:r>
          </w:p>
        </w:tc>
        <w:tc>
          <w:tcPr>
            <w:tcW w:w="0" w:type="auto"/>
            <w:vAlign w:val="center"/>
          </w:tcPr>
          <w:p>
            <w:pPr>
              <w:ind w:left="0" w:right="0"/>
            </w:pPr>
            <w:r>
              <w:rPr>
                <w:rFonts w:ascii="Arial" w:hAnsi="Arial"/>
                <w:sz w:val="21"/>
              </w:rPr>
              <w:t xml:space="preserve">Environmental Protection Agency (EPA), Environmental Justice Screening and Mapping Tool (EJSCREEN) </w:t>
            </w:r>
          </w:p>
        </w:tc>
      </w:tr>
      <w:tr>
        <w:tc>
          <w:tcPr>
            <w:tcW w:w="1000" w:type="pct"/>
            <w:vAlign w:val="center"/>
          </w:tcPr>
          <w:p>
            <w:pPr>
              <w:spacing w:before="240" w:after="240"/>
              <w:ind w:left="0" w:right="0"/>
              <w:rPr>
                <w:rFonts w:ascii="Arial" w:hAnsi="Arial"/>
                <w:sz w:val="21"/>
              </w:rPr>
            </w:pPr>
            <w:r>
              <w:rPr>
                <w:rFonts w:ascii="Arial" w:hAnsi="Arial"/>
                <w:b w:val="1"/>
                <w:sz w:val="21"/>
              </w:rPr>
              <w:t>Protocol Availability:</w:t>
            </w:r>
          </w:p>
        </w:tc>
        <w:tc>
          <w:tcPr>
            <w:tcW w:w="0" w:type="auto"/>
            <w:vAlign w:val="center"/>
          </w:tcPr>
          <w:p>
            <w:pPr>
              <w:ind w:left="0" w:right="0"/>
            </w:pPr>
            <w:r>
              <w:rPr>
                <w:rFonts w:ascii="Arial" w:hAnsi="Arial"/>
                <w:sz w:val="21"/>
              </w:rPr>
              <w:t xml:space="preserve">Available </w:t>
            </w:r>
          </w:p>
        </w:tc>
      </w:tr>
      <w:tr>
        <w:tc>
          <w:tcPr>
            <w:tcW w:w="1000" w:type="pct"/>
            <w:vAlign w:val="center"/>
          </w:tcPr>
          <w:p>
            <w:pPr>
              <w:spacing w:before="240" w:after="240"/>
              <w:ind w:left="0" w:right="0"/>
              <w:rPr>
                <w:rFonts w:ascii="Arial" w:hAnsi="Arial"/>
                <w:sz w:val="21"/>
              </w:rPr>
            </w:pPr>
            <w:r>
              <w:rPr>
                <w:rFonts w:ascii="Arial" w:hAnsi="Arial"/>
                <w:b w:val="1"/>
                <w:sz w:val="21"/>
              </w:rPr>
              <w:t>Keywords:</w:t>
            </w:r>
          </w:p>
        </w:tc>
        <w:tc>
          <w:tcPr>
            <w:tcW w:w="0" w:type="auto"/>
            <w:vAlign w:val="center"/>
          </w:tcPr>
          <w:p>
            <w:pPr>
              <w:ind w:left="0" w:right="0"/>
            </w:pPr>
            <w:r>
              <w:rPr>
                <w:rFonts w:ascii="Arial" w:hAnsi="Arial"/>
                <w:sz w:val="21"/>
              </w:rPr>
              <w:t xml:space="preserve">EJSCREEN; Environmental Justice; Mapping Tool; screening; Social Determinants of Health; Environmental Protection Agency; EPA; U.S. Census Bureau; American Community Survey; ACS; environmental health disparities </w:t>
            </w:r>
          </w:p>
        </w:tc>
      </w:tr>
      <w:tr>
        <w:tc>
          <w:tcPr>
            <w:tcW w:w="1000" w:type="pct"/>
            <w:vAlign w:val="center"/>
          </w:tcPr>
          <w:p>
            <w:pPr>
              <w:spacing w:before="240" w:after="240"/>
              <w:ind w:left="0" w:right="0"/>
              <w:rPr>
                <w:rFonts w:ascii="Arial" w:hAnsi="Arial"/>
                <w:sz w:val="21"/>
              </w:rPr>
            </w:pPr>
            <w:r>
              <w:rPr>
                <w:rFonts w:ascii="Arial" w:hAnsi="Arial"/>
                <w:b w:val="1"/>
                <w:sz w:val="21"/>
              </w:rPr>
              <w:t>Description:</w:t>
            </w:r>
          </w:p>
        </w:tc>
        <w:tc>
          <w:tcPr>
            <w:tcW w:w="0" w:type="auto"/>
            <w:vAlign w:val="center"/>
          </w:tcPr>
          <w:p>
            <w:pPr>
              <w:spacing w:before="240" w:after="240"/>
              <w:ind w:left="0" w:right="0"/>
              <w:rPr>
                <w:rFonts w:ascii="Arial" w:hAnsi="Arial"/>
                <w:sz w:val="21"/>
              </w:rPr>
            </w:pPr>
            <w:r>
              <w:rPr>
                <w:rFonts w:ascii="Arial" w:hAnsi="Arial"/>
                <w:sz w:val="21"/>
              </w:rPr>
              <w:t>The Environmental Justice Screening and Mapping Tool (EJSCREEN) is an environmental justice mapping and screening tool that provides a nationally consistent dataset and approach for combining environmental and demographic indicators. EJSCREEN users choose a geographic area that can be as small as a census block; the tool then provides demographic and environmental information for that area. All the EJSCREEN indicators are publicly available data. EJSCREEN provides a way to display this information and includes a method for combining environmental and demographic indicators into environmental justice (EJ) indexes.</w:t>
            </w:r>
          </w:p>
          <w:p>
            <w:pPr>
              <w:spacing w:before="240" w:after="240"/>
              <w:ind w:left="0" w:right="0"/>
              <w:rPr>
                <w:rFonts w:ascii="Arial" w:hAnsi="Arial"/>
                <w:sz w:val="21"/>
              </w:rPr>
            </w:pPr>
            <w:r>
              <w:rPr>
                <w:rFonts w:ascii="Arial" w:hAnsi="Arial"/>
                <w:sz w:val="21"/>
              </w:rPr>
              <w:t>The 11 EJ index names are as follows:</w:t>
            </w:r>
          </w:p>
          <w:p>
            <w:pPr>
              <w:numPr>
                <w:ilvl w:val="0"/>
                <w:numId w:val="1"/>
              </w:numPr>
              <w:spacing w:before="0" w:after="0"/>
              <w:ind w:hanging="360" w:left="720" w:right="0"/>
              <w:rPr>
                <w:rFonts w:ascii="Arial" w:hAnsi="Arial"/>
                <w:sz w:val="21"/>
              </w:rPr>
            </w:pPr>
            <w:r>
              <w:rPr>
                <w:rFonts w:ascii="Arial" w:hAnsi="Arial"/>
                <w:sz w:val="21"/>
              </w:rPr>
              <w:t>National Scale Air Toxics Assessment Air Toxics Cancer Risk</w:t>
            </w:r>
          </w:p>
          <w:p>
            <w:pPr>
              <w:numPr>
                <w:ilvl w:val="0"/>
                <w:numId w:val="1"/>
              </w:numPr>
              <w:spacing w:before="0" w:after="0"/>
              <w:ind w:hanging="360" w:left="720" w:right="0"/>
              <w:rPr>
                <w:rFonts w:ascii="Arial" w:hAnsi="Arial"/>
                <w:sz w:val="21"/>
              </w:rPr>
            </w:pPr>
            <w:r>
              <w:rPr>
                <w:rFonts w:ascii="Arial" w:hAnsi="Arial"/>
                <w:sz w:val="21"/>
              </w:rPr>
              <w:t>National Scale Air Toxics Assessment Respiratory Hazard Index</w:t>
            </w:r>
          </w:p>
          <w:p>
            <w:pPr>
              <w:numPr>
                <w:ilvl w:val="0"/>
                <w:numId w:val="1"/>
              </w:numPr>
              <w:spacing w:before="0" w:after="0"/>
              <w:ind w:hanging="360" w:left="720" w:right="0"/>
              <w:rPr>
                <w:rFonts w:ascii="Arial" w:hAnsi="Arial"/>
                <w:sz w:val="21"/>
              </w:rPr>
            </w:pPr>
            <w:r>
              <w:rPr>
                <w:rFonts w:ascii="Arial" w:hAnsi="Arial"/>
                <w:sz w:val="21"/>
              </w:rPr>
              <w:t>National Scale Air Toxics Assessment Diesel PM (DPM)</w:t>
            </w:r>
          </w:p>
          <w:p>
            <w:pPr>
              <w:numPr>
                <w:ilvl w:val="0"/>
                <w:numId w:val="1"/>
              </w:numPr>
              <w:spacing w:before="0" w:after="0"/>
              <w:ind w:hanging="360" w:left="720" w:right="0"/>
              <w:rPr>
                <w:rFonts w:ascii="Arial" w:hAnsi="Arial"/>
                <w:sz w:val="21"/>
              </w:rPr>
            </w:pPr>
            <w:r>
              <w:rPr>
                <w:rFonts w:ascii="Arial" w:hAnsi="Arial"/>
                <w:sz w:val="21"/>
              </w:rPr>
              <w:t>Particulate Matter (PM</w:t>
            </w:r>
            <w:r>
              <w:rPr>
                <w:rFonts w:ascii="Arial" w:hAnsi="Arial"/>
                <w:sz w:val="21"/>
                <w:vertAlign w:val="subscript"/>
              </w:rPr>
              <w:t>2.5</w:t>
            </w:r>
            <w:r>
              <w:rPr>
                <w:rFonts w:ascii="Arial" w:hAnsi="Arial"/>
                <w:sz w:val="21"/>
              </w:rPr>
              <w:t>)</w:t>
            </w:r>
          </w:p>
          <w:p>
            <w:pPr>
              <w:numPr>
                <w:ilvl w:val="0"/>
                <w:numId w:val="1"/>
              </w:numPr>
              <w:spacing w:before="0" w:after="0"/>
              <w:ind w:hanging="360" w:left="720" w:right="0"/>
              <w:rPr>
                <w:rFonts w:ascii="Arial" w:hAnsi="Arial"/>
                <w:sz w:val="21"/>
              </w:rPr>
            </w:pPr>
            <w:r>
              <w:rPr>
                <w:rFonts w:ascii="Arial" w:hAnsi="Arial"/>
                <w:sz w:val="21"/>
              </w:rPr>
              <w:t>Ozone</w:t>
            </w:r>
          </w:p>
          <w:p>
            <w:pPr>
              <w:numPr>
                <w:ilvl w:val="0"/>
                <w:numId w:val="1"/>
              </w:numPr>
              <w:spacing w:before="0" w:after="0"/>
              <w:ind w:hanging="360" w:left="720" w:right="0"/>
              <w:rPr>
                <w:rFonts w:ascii="Arial" w:hAnsi="Arial"/>
                <w:sz w:val="21"/>
              </w:rPr>
            </w:pPr>
            <w:r>
              <w:rPr>
                <w:rFonts w:ascii="Arial" w:hAnsi="Arial"/>
                <w:sz w:val="21"/>
              </w:rPr>
              <w:t>Lead Paint Indicator</w:t>
            </w:r>
          </w:p>
          <w:p>
            <w:pPr>
              <w:numPr>
                <w:ilvl w:val="0"/>
                <w:numId w:val="1"/>
              </w:numPr>
              <w:spacing w:before="0" w:after="0"/>
              <w:ind w:hanging="360" w:left="720" w:right="0"/>
              <w:rPr>
                <w:rFonts w:ascii="Arial" w:hAnsi="Arial"/>
                <w:sz w:val="21"/>
              </w:rPr>
            </w:pPr>
            <w:r>
              <w:rPr>
                <w:rFonts w:ascii="Arial" w:hAnsi="Arial"/>
                <w:sz w:val="21"/>
              </w:rPr>
              <w:t>Traffic Proximity and Volume</w:t>
            </w:r>
          </w:p>
          <w:p>
            <w:pPr>
              <w:numPr>
                <w:ilvl w:val="0"/>
                <w:numId w:val="1"/>
              </w:numPr>
              <w:spacing w:before="0" w:after="0"/>
              <w:ind w:hanging="360" w:left="720" w:right="0"/>
              <w:rPr>
                <w:rFonts w:ascii="Arial" w:hAnsi="Arial"/>
                <w:sz w:val="21"/>
              </w:rPr>
            </w:pPr>
            <w:r>
              <w:rPr>
                <w:rFonts w:ascii="Arial" w:hAnsi="Arial"/>
                <w:sz w:val="21"/>
              </w:rPr>
              <w:t>Proximity to Risk Management Plan Sites</w:t>
            </w:r>
          </w:p>
          <w:p>
            <w:pPr>
              <w:numPr>
                <w:ilvl w:val="0"/>
                <w:numId w:val="1"/>
              </w:numPr>
              <w:spacing w:before="0" w:after="0"/>
              <w:ind w:hanging="360" w:left="720" w:right="0"/>
              <w:rPr>
                <w:rFonts w:ascii="Arial" w:hAnsi="Arial"/>
                <w:sz w:val="21"/>
              </w:rPr>
            </w:pPr>
            <w:r>
              <w:rPr>
                <w:rFonts w:ascii="Arial" w:hAnsi="Arial"/>
                <w:sz w:val="21"/>
              </w:rPr>
              <w:t>Proximity to Treatment Storage and Disposal Facilities</w:t>
            </w:r>
          </w:p>
          <w:p>
            <w:pPr>
              <w:numPr>
                <w:ilvl w:val="0"/>
                <w:numId w:val="1"/>
              </w:numPr>
              <w:spacing w:before="0" w:after="0"/>
              <w:ind w:hanging="360" w:left="720" w:right="0"/>
              <w:rPr>
                <w:rFonts w:ascii="Arial" w:hAnsi="Arial"/>
                <w:sz w:val="21"/>
              </w:rPr>
            </w:pPr>
            <w:r>
              <w:rPr>
                <w:rFonts w:ascii="Arial" w:hAnsi="Arial"/>
                <w:sz w:val="21"/>
              </w:rPr>
              <w:t>Proximity to National Priorities List Sites</w:t>
            </w:r>
          </w:p>
          <w:p>
            <w:pPr>
              <w:numPr>
                <w:ilvl w:val="0"/>
                <w:numId w:val="1"/>
              </w:numPr>
              <w:spacing w:before="0" w:after="0"/>
              <w:ind w:hanging="360" w:left="720" w:right="0"/>
              <w:rPr>
                <w:rFonts w:ascii="Arial" w:hAnsi="Arial"/>
                <w:sz w:val="21"/>
              </w:rPr>
            </w:pPr>
            <w:r>
              <w:rPr>
                <w:rFonts w:ascii="Arial" w:hAnsi="Arial"/>
                <w:sz w:val="21"/>
              </w:rPr>
              <w:t>Proximity to Major Direct Water Dischargers</w:t>
            </w:r>
          </w:p>
          <w:p>
            <w:pPr>
              <w:spacing w:before="240" w:after="240"/>
              <w:ind w:left="0" w:right="0"/>
              <w:rPr>
                <w:rFonts w:ascii="Arial" w:hAnsi="Arial"/>
                <w:sz w:val="21"/>
              </w:rPr>
            </w:pPr>
            <w:r>
              <w:rPr>
                <w:rFonts w:ascii="Arial" w:hAnsi="Arial"/>
                <w:sz w:val="21"/>
              </w:rPr>
              <w:t>There are six demographic indicators:</w:t>
            </w:r>
          </w:p>
          <w:p>
            <w:pPr>
              <w:numPr>
                <w:ilvl w:val="0"/>
                <w:numId w:val="2"/>
              </w:numPr>
              <w:spacing w:before="0" w:after="0"/>
              <w:ind w:hanging="360" w:left="720" w:right="0"/>
              <w:rPr>
                <w:rFonts w:ascii="Arial" w:hAnsi="Arial"/>
                <w:sz w:val="21"/>
              </w:rPr>
            </w:pPr>
            <w:r>
              <w:rPr>
                <w:rFonts w:ascii="Arial" w:hAnsi="Arial"/>
                <w:sz w:val="21"/>
              </w:rPr>
              <w:t>Percent low income</w:t>
            </w:r>
          </w:p>
          <w:p>
            <w:pPr>
              <w:numPr>
                <w:ilvl w:val="1"/>
                <w:numId w:val="2"/>
              </w:numPr>
              <w:spacing w:before="0" w:after="0"/>
              <w:ind w:hanging="360" w:left="1440" w:right="0"/>
              <w:rPr>
                <w:rFonts w:ascii="Arial" w:hAnsi="Arial"/>
                <w:sz w:val="21"/>
              </w:rPr>
            </w:pPr>
            <w:r>
              <w:rPr>
                <w:rFonts w:ascii="Arial" w:hAnsi="Arial"/>
                <w:sz w:val="21"/>
              </w:rPr>
              <w:t>Percentage of a block group's population in households where the household income is less than or equal to twice the federal "poverty level."</w:t>
            </w:r>
          </w:p>
          <w:p>
            <w:pPr>
              <w:numPr>
                <w:ilvl w:val="0"/>
                <w:numId w:val="2"/>
              </w:numPr>
              <w:spacing w:before="0" w:after="0"/>
              <w:ind w:hanging="360" w:left="720" w:right="0"/>
              <w:rPr>
                <w:rFonts w:ascii="Arial" w:hAnsi="Arial"/>
                <w:sz w:val="21"/>
              </w:rPr>
            </w:pPr>
            <w:r>
              <w:rPr>
                <w:rFonts w:ascii="Arial" w:hAnsi="Arial"/>
                <w:sz w:val="21"/>
              </w:rPr>
              <w:t>Percent minority</w:t>
            </w:r>
          </w:p>
          <w:p>
            <w:pPr>
              <w:numPr>
                <w:ilvl w:val="1"/>
                <w:numId w:val="2"/>
              </w:numPr>
              <w:spacing w:before="0" w:after="0"/>
              <w:ind w:hanging="360" w:left="1440" w:right="0"/>
              <w:rPr>
                <w:rFonts w:ascii="Arial" w:hAnsi="Arial"/>
                <w:sz w:val="21"/>
              </w:rPr>
            </w:pPr>
            <w:r>
              <w:rPr>
                <w:rFonts w:ascii="Arial" w:hAnsi="Arial"/>
                <w:sz w:val="21"/>
              </w:rPr>
              <w:t>Percentage of individuals in a block group who list their racial status as a race other than white alone and/or list their ethnicity as Hispanic or Latino (i.e., all people other than non-Hispanic, white-alone individuals). The word "alone" in this case indicates that the person is of a single race, not multiracial.</w:t>
            </w:r>
          </w:p>
          <w:p>
            <w:pPr>
              <w:numPr>
                <w:ilvl w:val="0"/>
                <w:numId w:val="2"/>
              </w:numPr>
              <w:spacing w:before="0" w:after="0"/>
              <w:ind w:hanging="360" w:left="720" w:right="0"/>
              <w:rPr>
                <w:rFonts w:ascii="Arial" w:hAnsi="Arial"/>
                <w:sz w:val="21"/>
              </w:rPr>
            </w:pPr>
            <w:r>
              <w:rPr>
                <w:rFonts w:ascii="Arial" w:hAnsi="Arial"/>
                <w:sz w:val="21"/>
              </w:rPr>
              <w:t>Less than high school education</w:t>
            </w:r>
          </w:p>
          <w:p>
            <w:pPr>
              <w:numPr>
                <w:ilvl w:val="1"/>
                <w:numId w:val="2"/>
              </w:numPr>
              <w:spacing w:before="0" w:after="0"/>
              <w:ind w:hanging="360" w:left="1440" w:right="0"/>
              <w:rPr>
                <w:rFonts w:ascii="Arial" w:hAnsi="Arial"/>
                <w:sz w:val="21"/>
              </w:rPr>
            </w:pPr>
            <w:r>
              <w:rPr>
                <w:rFonts w:ascii="Arial" w:hAnsi="Arial"/>
                <w:sz w:val="21"/>
              </w:rPr>
              <w:t>Percentage of people aged 25 or older in a block group whose education is short of a high school diploma.</w:t>
            </w:r>
          </w:p>
          <w:p>
            <w:pPr>
              <w:numPr>
                <w:ilvl w:val="0"/>
                <w:numId w:val="2"/>
              </w:numPr>
              <w:spacing w:before="0" w:after="0"/>
              <w:ind w:hanging="360" w:left="720" w:right="0"/>
              <w:rPr>
                <w:rFonts w:ascii="Arial" w:hAnsi="Arial"/>
                <w:sz w:val="21"/>
              </w:rPr>
            </w:pPr>
            <w:r>
              <w:rPr>
                <w:rFonts w:ascii="Arial" w:hAnsi="Arial"/>
                <w:sz w:val="21"/>
              </w:rPr>
              <w:t>Linguistic isolation</w:t>
            </w:r>
          </w:p>
          <w:p>
            <w:pPr>
              <w:numPr>
                <w:ilvl w:val="1"/>
                <w:numId w:val="2"/>
              </w:numPr>
              <w:spacing w:before="0" w:after="0"/>
              <w:ind w:hanging="360" w:left="1440" w:right="0"/>
              <w:rPr>
                <w:rFonts w:ascii="Arial" w:hAnsi="Arial"/>
                <w:sz w:val="21"/>
              </w:rPr>
            </w:pPr>
            <w:r>
              <w:rPr>
                <w:rFonts w:ascii="Arial" w:hAnsi="Arial"/>
                <w:sz w:val="21"/>
              </w:rPr>
              <w:t>Percentage of people in a block group living in linguistically isolated households. A household in which all members aged 14 years or older speak a non-English language and speak English less than "very well" (have difficulty with English) is linguistically isolated.</w:t>
            </w:r>
          </w:p>
          <w:p>
            <w:pPr>
              <w:numPr>
                <w:ilvl w:val="0"/>
                <w:numId w:val="2"/>
              </w:numPr>
              <w:spacing w:before="0" w:after="0"/>
              <w:ind w:hanging="360" w:left="720" w:right="0"/>
              <w:rPr>
                <w:rFonts w:ascii="Arial" w:hAnsi="Arial"/>
                <w:sz w:val="21"/>
              </w:rPr>
            </w:pPr>
            <w:r>
              <w:rPr>
                <w:rFonts w:ascii="Arial" w:hAnsi="Arial"/>
                <w:sz w:val="21"/>
              </w:rPr>
              <w:t>Individuals younger than age 5</w:t>
            </w:r>
          </w:p>
          <w:p>
            <w:pPr>
              <w:numPr>
                <w:ilvl w:val="1"/>
                <w:numId w:val="2"/>
              </w:numPr>
              <w:spacing w:before="0" w:after="0"/>
              <w:ind w:hanging="360" w:left="1440" w:right="0"/>
              <w:rPr>
                <w:rFonts w:ascii="Arial" w:hAnsi="Arial"/>
                <w:sz w:val="21"/>
              </w:rPr>
            </w:pPr>
            <w:r>
              <w:rPr>
                <w:rFonts w:ascii="Arial" w:hAnsi="Arial"/>
                <w:sz w:val="21"/>
              </w:rPr>
              <w:t>Percentage of people in a block group younger than age 5.</w:t>
            </w:r>
          </w:p>
          <w:p>
            <w:pPr>
              <w:numPr>
                <w:ilvl w:val="0"/>
                <w:numId w:val="2"/>
              </w:numPr>
              <w:spacing w:before="0" w:after="0"/>
              <w:ind w:hanging="360" w:left="720" w:right="0"/>
              <w:rPr>
                <w:rFonts w:ascii="Arial" w:hAnsi="Arial"/>
                <w:sz w:val="21"/>
              </w:rPr>
            </w:pPr>
            <w:r>
              <w:rPr>
                <w:rFonts w:ascii="Arial" w:hAnsi="Arial"/>
                <w:sz w:val="21"/>
              </w:rPr>
              <w:t>Individuals older than age 64</w:t>
            </w:r>
          </w:p>
          <w:p>
            <w:pPr>
              <w:numPr>
                <w:ilvl w:val="1"/>
                <w:numId w:val="2"/>
              </w:numPr>
              <w:spacing w:before="0" w:after="0"/>
              <w:ind w:hanging="360" w:left="1440" w:right="0"/>
              <w:rPr>
                <w:rFonts w:ascii="Arial" w:hAnsi="Arial"/>
                <w:sz w:val="21"/>
              </w:rPr>
            </w:pPr>
            <w:r>
              <w:rPr>
                <w:rFonts w:ascii="Arial" w:hAnsi="Arial"/>
                <w:sz w:val="21"/>
              </w:rPr>
              <w:t>Percentage of people in a block group older than age 64.</w:t>
            </w:r>
          </w:p>
          <w:p>
            <w:pPr>
              <w:spacing w:before="240" w:after="240"/>
              <w:ind w:left="0" w:right="0"/>
              <w:rPr>
                <w:rFonts w:ascii="Arial" w:hAnsi="Arial"/>
                <w:sz w:val="21"/>
              </w:rPr>
            </w:pPr>
            <w:r>
              <w:rPr>
                <w:rFonts w:ascii="Arial" w:hAnsi="Arial"/>
                <w:sz w:val="21"/>
              </w:rPr>
              <w:t>EJSCREEN provides two indexes that are based on the aforementioned demographic indicators:</w:t>
            </w:r>
          </w:p>
          <w:p>
            <w:pPr>
              <w:numPr>
                <w:ilvl w:val="0"/>
                <w:numId w:val="3"/>
              </w:numPr>
              <w:spacing w:before="0" w:after="0"/>
              <w:ind w:hanging="360" w:left="720" w:right="0"/>
              <w:rPr>
                <w:rFonts w:ascii="Arial" w:hAnsi="Arial"/>
                <w:sz w:val="21"/>
              </w:rPr>
            </w:pPr>
            <w:r>
              <w:rPr>
                <w:rFonts w:ascii="Arial" w:hAnsi="Arial"/>
                <w:sz w:val="21"/>
              </w:rPr>
              <w:t>A demographic index is based on the average of two demographic indicators: percent low income and percent minority.</w:t>
            </w:r>
          </w:p>
          <w:p>
            <w:pPr>
              <w:spacing w:before="240" w:after="240"/>
              <w:ind w:left="0" w:right="0"/>
              <w:rPr>
                <w:rFonts w:ascii="Arial" w:hAnsi="Arial"/>
                <w:sz w:val="21"/>
              </w:rPr>
            </w:pPr>
            <w:r>
              <w:rPr>
                <w:rFonts w:ascii="Arial" w:hAnsi="Arial"/>
                <w:sz w:val="21"/>
              </w:rPr>
              <w:t>Each EJ index combines demographic indicators with a single environmental indicator. From the map, the user can select an area to generate a downloadable report from a selected area and compare it with the state, Environmental Protection Agency region, or the nation. The report includes data that the user can use to compare populations with any of the indexes.</w:t>
            </w:r>
          </w:p>
        </w:tc>
      </w:tr>
      <w:tr>
        <w:tc>
          <w:tcPr>
            <w:tcW w:w="1000" w:type="pct"/>
            <w:vAlign w:val="center"/>
          </w:tcPr>
          <w:p>
            <w:pPr>
              <w:spacing w:before="240" w:after="240"/>
              <w:ind w:left="0" w:right="0"/>
              <w:rPr>
                <w:rFonts w:ascii="Arial" w:hAnsi="Arial"/>
                <w:sz w:val="21"/>
              </w:rPr>
            </w:pPr>
            <w:r>
              <w:rPr>
                <w:rFonts w:ascii="Arial" w:hAnsi="Arial"/>
                <w:b w:val="1"/>
                <w:sz w:val="21"/>
              </w:rPr>
              <w:t>Specific Instructions:</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Protocol:</w:t>
            </w:r>
          </w:p>
        </w:tc>
        <w:tc>
          <w:tcPr>
            <w:tcW w:w="0" w:type="auto"/>
            <w:vAlign w:val="center"/>
          </w:tcPr>
          <w:p>
            <w:pPr>
              <w:spacing w:before="240" w:after="240"/>
              <w:ind w:left="0" w:right="0"/>
              <w:rPr>
                <w:rFonts w:ascii="Arial" w:hAnsi="Arial"/>
                <w:sz w:val="21"/>
              </w:rPr>
            </w:pPr>
            <w:r>
              <w:rPr>
                <w:rFonts w:ascii="Arial" w:hAnsi="Arial"/>
                <w:sz w:val="21"/>
              </w:rPr>
              <w:t>Learn to Use EJSCREEN:</w:t>
            </w:r>
          </w:p>
          <w:p>
            <w:pPr>
              <w:spacing w:before="240" w:after="240"/>
              <w:ind w:left="0" w:right="0"/>
              <w:rPr>
                <w:rFonts w:ascii="Arial" w:hAnsi="Arial"/>
                <w:sz w:val="21"/>
              </w:rPr>
            </w:pPr>
            <w:r>
              <w:rPr>
                <w:rFonts w:ascii="Arial" w:hAnsi="Arial"/>
                <w:sz w:val="21"/>
              </w:rPr>
              <w:t>[link[www.epa.gov/ejscreen/learn-use-ejscreen|https://www.epa.gov/ejscreen/learn-use-ejscreen]]</w:t>
            </w:r>
          </w:p>
          <w:p>
            <w:pPr>
              <w:spacing w:before="240" w:after="240"/>
              <w:ind w:left="0" w:right="0"/>
              <w:rPr>
                <w:rFonts w:ascii="Arial" w:hAnsi="Arial"/>
                <w:sz w:val="21"/>
              </w:rPr>
            </w:pPr>
            <w:r>
              <w:rPr>
                <w:rFonts w:ascii="Arial" w:hAnsi="Arial"/>
                <w:sz w:val="21"/>
              </w:rPr>
              <w:t>[link[ejscreen.epa.gov/mapper/help/ejscreen_help.pdf|https://ejscreen.epa.gov/mapper/help/ejscreen_help.pdf]]</w:t>
            </w:r>
          </w:p>
        </w:tc>
      </w:tr>
      <w:tr>
        <w:tc>
          <w:tcPr>
            <w:tcW w:w="1000" w:type="pct"/>
            <w:vAlign w:val="center"/>
          </w:tcPr>
          <w:p>
            <w:pPr>
              <w:spacing w:before="240" w:after="240"/>
              <w:ind w:left="0" w:right="0"/>
              <w:rPr>
                <w:rFonts w:ascii="Arial" w:hAnsi="Arial"/>
                <w:sz w:val="21"/>
              </w:rPr>
            </w:pPr>
            <w:r>
              <w:rPr>
                <w:rFonts w:ascii="Arial" w:hAnsi="Arial"/>
                <w:b w:val="1"/>
                <w:sz w:val="21"/>
              </w:rPr>
              <w:t>Selection Rationale:</w:t>
            </w:r>
          </w:p>
        </w:tc>
        <w:tc>
          <w:tcPr>
            <w:tcW w:w="0" w:type="auto"/>
            <w:vAlign w:val="center"/>
          </w:tcPr>
          <w:p>
            <w:pPr>
              <w:spacing w:before="240" w:after="240"/>
              <w:ind w:left="0" w:right="0"/>
              <w:rPr>
                <w:rFonts w:ascii="Arial" w:hAnsi="Arial"/>
                <w:sz w:val="21"/>
              </w:rPr>
            </w:pPr>
            <w:r>
              <w:rPr>
                <w:rFonts w:ascii="Arial" w:hAnsi="Arial"/>
                <w:sz w:val="21"/>
              </w:rPr>
              <w:t>EJSCREEN was chosen because it uses standard and nationally consistent data and enables users to access environmental and demographic information, at high geographic resolution, across the entire country.</w:t>
            </w:r>
          </w:p>
        </w:tc>
      </w:tr>
      <w:tr>
        <w:tc>
          <w:tcPr>
            <w:tcW w:w="1000" w:type="pct"/>
            <w:vAlign w:val="center"/>
          </w:tcPr>
          <w:p>
            <w:pPr>
              <w:spacing w:before="240" w:after="240"/>
              <w:ind w:left="0" w:right="0"/>
              <w:rPr>
                <w:rFonts w:ascii="Arial" w:hAnsi="Arial"/>
                <w:sz w:val="21"/>
              </w:rPr>
            </w:pPr>
            <w:r>
              <w:rPr>
                <w:rFonts w:ascii="Arial" w:hAnsi="Arial"/>
                <w:b w:val="1"/>
                <w:sz w:val="21"/>
              </w:rPr>
              <w:t>Source:</w:t>
            </w:r>
          </w:p>
        </w:tc>
        <w:tc>
          <w:tcPr>
            <w:tcW w:w="0" w:type="auto"/>
            <w:vAlign w:val="center"/>
          </w:tcPr>
          <w:p>
            <w:pPr>
              <w:spacing w:before="240" w:after="240"/>
              <w:ind w:left="0" w:right="0"/>
              <w:rPr>
                <w:rFonts w:ascii="Arial" w:hAnsi="Arial"/>
                <w:sz w:val="21"/>
              </w:rPr>
            </w:pPr>
            <w:r>
              <w:rPr>
                <w:rFonts w:ascii="Arial" w:hAnsi="Arial"/>
                <w:sz w:val="21"/>
              </w:rPr>
              <w:t>U.S. Environmental Protection Agency (EPA). (2018). EJSCREEN: Environmental Justice Screening and Mapping Tool. Retrieved from https://www.epa.gov/ejscreen</w:t>
            </w:r>
            <w:bookmarkStart w:id="0" w:name="_Hlt7096562"/>
            <w:bookmarkEnd w:id="0"/>
            <w:bookmarkStart w:id="1" w:name="_Hlt30578014"/>
            <w:bookmarkEnd w:id="1"/>
            <w:bookmarkStart w:id="2" w:name="_Hlt7096561"/>
            <w:bookmarkEnd w:id="2"/>
          </w:p>
          <w:p>
            <w:pPr>
              <w:spacing w:before="240" w:after="240"/>
              <w:ind w:left="0" w:right="0"/>
              <w:rPr>
                <w:rFonts w:ascii="Arial" w:hAnsi="Arial"/>
                <w:sz w:val="21"/>
              </w:rPr>
            </w:pPr>
            <w:r>
              <w:rPr>
                <w:rFonts w:ascii="Arial" w:hAnsi="Arial"/>
                <w:sz w:val="21"/>
              </w:rPr>
              <w:t>Demographic information that is obtained from the U.S. Census Bureau’s American Community Survey (ACS). The 2018 version of EJSCREEN includes 2012–2016 ACS 5-year summary file data, which are based on 2014 census boundaries.</w:t>
            </w:r>
          </w:p>
        </w:tc>
      </w:tr>
      <w:tr>
        <w:tc>
          <w:tcPr>
            <w:tcW w:w="1000" w:type="pct"/>
            <w:vAlign w:val="center"/>
          </w:tcPr>
          <w:p>
            <w:pPr>
              <w:spacing w:before="240" w:after="240"/>
              <w:ind w:left="0" w:right="0"/>
              <w:rPr>
                <w:rFonts w:ascii="Arial" w:hAnsi="Arial"/>
                <w:sz w:val="21"/>
              </w:rPr>
            </w:pPr>
            <w:r>
              <w:rPr>
                <w:rFonts w:ascii="Arial" w:hAnsi="Arial"/>
                <w:b w:val="1"/>
                <w:sz w:val="21"/>
              </w:rPr>
              <w:t>Language</w:t>
            </w:r>
          </w:p>
        </w:tc>
        <w:tc>
          <w:tcPr>
            <w:tcW w:w="0" w:type="auto"/>
            <w:vAlign w:val="center"/>
          </w:tcPr>
          <w:p>
            <w:pPr>
              <w:ind w:left="0" w:right="0"/>
            </w:pPr>
            <w:r>
              <w:rPr>
                <w:rFonts w:ascii="Arial" w:hAnsi="Arial"/>
                <w:sz w:val="21"/>
              </w:rPr>
              <w:t xml:space="preserve">English </w:t>
            </w:r>
          </w:p>
        </w:tc>
      </w:tr>
      <w:tr>
        <w:tc>
          <w:tcPr>
            <w:tcW w:w="1000" w:type="pct"/>
            <w:vAlign w:val="center"/>
          </w:tcPr>
          <w:p>
            <w:pPr>
              <w:spacing w:before="240" w:after="240"/>
              <w:ind w:left="0" w:right="0"/>
              <w:rPr>
                <w:rFonts w:ascii="Arial" w:hAnsi="Arial"/>
                <w:sz w:val="21"/>
              </w:rPr>
            </w:pPr>
            <w:r>
              <w:rPr>
                <w:rFonts w:ascii="Arial" w:hAnsi="Arial"/>
                <w:b w:val="1"/>
                <w:sz w:val="21"/>
              </w:rPr>
              <w:t>Participant:</w:t>
            </w:r>
          </w:p>
        </w:tc>
        <w:tc>
          <w:tcPr>
            <w:tcW w:w="0" w:type="auto"/>
            <w:vAlign w:val="center"/>
          </w:tcPr>
          <w:p>
            <w:pPr>
              <w:spacing w:before="240" w:after="240"/>
              <w:ind w:left="0" w:right="0"/>
              <w:rPr>
                <w:rFonts w:ascii="Arial" w:hAnsi="Arial"/>
                <w:sz w:val="21"/>
              </w:rPr>
            </w:pPr>
            <w:r>
              <w:rPr>
                <w:rFonts w:ascii="Arial" w:hAnsi="Arial"/>
                <w:sz w:val="21"/>
              </w:rPr>
              <w:t>Not applicable; derived from publicly available secondary data</w:t>
            </w:r>
          </w:p>
        </w:tc>
      </w:tr>
      <w:tr>
        <w:tc>
          <w:tcPr>
            <w:tcW w:w="1000" w:type="pct"/>
            <w:vAlign w:val="center"/>
          </w:tcPr>
          <w:p>
            <w:pPr>
              <w:spacing w:before="240" w:after="240"/>
              <w:ind w:left="0" w:right="0"/>
              <w:rPr>
                <w:rFonts w:ascii="Arial" w:hAnsi="Arial"/>
                <w:sz w:val="21"/>
              </w:rPr>
            </w:pPr>
            <w:r>
              <w:rPr>
                <w:rFonts w:ascii="Arial" w:hAnsi="Arial"/>
                <w:b w:val="1"/>
                <w:sz w:val="21"/>
              </w:rPr>
              <w:t>Personnel and Training Required:</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Equipment Needs:</w:t>
            </w:r>
          </w:p>
        </w:tc>
        <w:tc>
          <w:tcPr>
            <w:tcW w:w="0" w:type="auto"/>
            <w:vAlign w:val="center"/>
          </w:tcPr>
          <w:p>
            <w:pPr>
              <w:spacing w:before="240" w:after="240"/>
              <w:ind w:left="0" w:right="0"/>
              <w:rPr>
                <w:rFonts w:ascii="Arial" w:hAnsi="Arial"/>
                <w:sz w:val="21"/>
              </w:rPr>
            </w:pPr>
            <w:r>
              <w:rPr>
                <w:rFonts w:ascii="Arial" w:hAnsi="Arial"/>
                <w:sz w:val="21"/>
              </w:rPr>
              <w:t>Access to the Internet</w:t>
            </w:r>
          </w:p>
        </w:tc>
      </w:tr>
      <w:tr>
        <w:tc>
          <w:tcPr>
            <w:tcW w:w="1000" w:type="pct"/>
            <w:vAlign w:val="center"/>
          </w:tcPr>
          <w:p>
            <w:pPr>
              <w:spacing w:before="240" w:after="240"/>
              <w:ind w:left="0" w:right="0"/>
              <w:rPr>
                <w:rFonts w:ascii="Arial" w:hAnsi="Arial"/>
                <w:sz w:val="21"/>
              </w:rPr>
            </w:pPr>
            <w:r>
              <w:rPr>
                <w:rFonts w:ascii="Arial" w:hAnsi="Arial"/>
                <w:b w:val="1"/>
                <w:sz w:val="21"/>
              </w:rPr>
              <w:t>Standards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Standard</w:t>
                  </w:r>
                </w:p>
              </w:tc>
              <w:tc>
                <w:tcPr>
                  <w:tcW w:w="0" w:type="auto"/>
                  <w:vAlign w:val="center"/>
                </w:tcPr>
                <w:p>
                  <w:pPr>
                    <w:spacing w:before="240" w:after="240"/>
                    <w:ind w:left="0" w:right="0"/>
                    <w:rPr>
                      <w:rFonts w:ascii="Arial" w:hAnsi="Arial"/>
                      <w:sz w:val="21"/>
                    </w:rPr>
                  </w:pPr>
                  <w:r>
                    <w:rPr>
                      <w:rFonts w:ascii="Arial" w:hAnsi="Arial"/>
                      <w:b w:val="1"/>
                      <w:sz w:val="21"/>
                    </w:rPr>
                    <w:t>Name</w:t>
                  </w:r>
                </w:p>
              </w:tc>
              <w:tc>
                <w:tcPr>
                  <w:tcW w:w="0" w:type="auto"/>
                  <w:vAlign w:val="center"/>
                </w:tcPr>
                <w:p>
                  <w:pPr>
                    <w:spacing w:before="240" w:after="240"/>
                    <w:ind w:left="0" w:right="0"/>
                    <w:rPr>
                      <w:rFonts w:ascii="Arial" w:hAnsi="Arial"/>
                      <w:sz w:val="21"/>
                    </w:rPr>
                  </w:pPr>
                  <w:r>
                    <w:rPr>
                      <w:rFonts w:ascii="Arial" w:hAnsi="Arial"/>
                      <w:b w:val="1"/>
                      <w:sz w:val="21"/>
                    </w:rPr>
                    <w:t>ID</w:t>
                  </w:r>
                </w:p>
              </w:tc>
              <w:tc>
                <w:tcPr>
                  <w:tcW w:w="0" w:type="auto"/>
                  <w:vAlign w:val="center"/>
                </w:tcPr>
                <w:p>
                  <w:pPr>
                    <w:spacing w:before="240" w:after="240"/>
                    <w:ind w:left="0" w:right="0"/>
                    <w:rPr>
                      <w:rFonts w:ascii="Arial" w:hAnsi="Arial"/>
                      <w:sz w:val="21"/>
                    </w:rPr>
                  </w:pPr>
                  <w:r>
                    <w:rPr>
                      <w:rFonts w:ascii="Arial" w:hAnsi="Arial"/>
                      <w:b w:val="1"/>
                      <w:sz w:val="21"/>
                    </w:rPr>
                    <w:t>Source</w:t>
                  </w:r>
                </w:p>
              </w:tc>
            </w:tr>
            <w:tr>
              <w:tc>
                <w:tcPr>
                  <w:tcW w:w="0" w:type="auto"/>
                  <w:vAlign w:val="center"/>
                </w:tcPr>
                <w:p>
                  <w:pPr>
                    <w:spacing w:before="240" w:after="240"/>
                    <w:ind w:left="0" w:right="0"/>
                    <w:rPr>
                      <w:rFonts w:ascii="Arial" w:hAnsi="Arial"/>
                      <w:sz w:val="21"/>
                    </w:rPr>
                  </w:pPr>
                  <w:r>
                    <w:rPr>
                      <w:rFonts w:ascii="Arial" w:hAnsi="Arial"/>
                      <w:sz w:val="21"/>
                    </w:rPr>
                    <w:t>Logical Observation Identifiers Names and Codes (LOINC)</w:t>
                  </w:r>
                </w:p>
              </w:tc>
              <w:tc>
                <w:tcPr>
                  <w:tcW w:w="0" w:type="auto"/>
                  <w:vAlign w:val="center"/>
                </w:tcPr>
                <w:p>
                  <w:pPr>
                    <w:spacing w:before="240" w:after="240"/>
                    <w:ind w:left="0" w:right="0"/>
                    <w:rPr>
                      <w:rFonts w:ascii="Arial" w:hAnsi="Arial"/>
                      <w:sz w:val="21"/>
                    </w:rPr>
                  </w:pPr>
                  <w:r>
                    <w:rPr>
                      <w:rFonts w:ascii="Arial" w:hAnsi="Arial"/>
                      <w:sz w:val="21"/>
                    </w:rPr>
                    <w:t>PhenX - environmental justice protocol 290401</w:t>
                  </w:r>
                </w:p>
              </w:tc>
              <w:tc>
                <w:tcPr>
                  <w:tcW w:w="0" w:type="auto"/>
                  <w:vAlign w:val="center"/>
                </w:tcPr>
                <w:p>
                  <w:pPr>
                    <w:spacing w:before="240" w:after="240"/>
                    <w:ind w:left="0" w:right="0"/>
                    <w:rPr>
                      <w:rFonts w:ascii="Arial" w:hAnsi="Arial"/>
                      <w:sz w:val="21"/>
                    </w:rPr>
                  </w:pPr>
                  <w:r>
                    <w:rPr>
                      <w:rFonts w:ascii="Arial" w:hAnsi="Arial"/>
                      <w:sz w:val="21"/>
                    </w:rPr>
                    <w:t>105578-9</w:t>
                  </w:r>
                </w:p>
              </w:tc>
              <w:tc>
                <w:tcPr>
                  <w:tcW w:w="0" w:type="auto"/>
                  <w:vAlign w:val="center"/>
                </w:tcPr>
                <w:p>
                  <w:pPr>
                    <w:spacing w:before="240" w:after="240"/>
                    <w:ind w:left="0" w:right="0"/>
                    <w:rPr>
                      <w:rFonts w:ascii="Arial" w:hAnsi="Arial"/>
                      <w:sz w:val="21"/>
                    </w:rPr>
                  </w:pPr>
                  <w:r>
                    <w:rPr>
                      <w:rFonts w:ascii="Arial" w:hAnsi="Arial"/>
                      <w:sz w:val="21"/>
                    </w:rPr>
                    <w:fldChar w:fldCharType="begin"/>
                  </w:r>
                  <w:r>
                    <w:rPr>
                      <w:rFonts w:ascii="Arial" w:hAnsi="Arial"/>
                      <w:sz w:val="21"/>
                    </w:rPr>
                    <w:instrText>HYPERLINK "http://s.details.loinc.org/LOINC/&lt;INSERT_ID&gt;.html?sections=Web"</w:instrText>
                  </w:r>
                  <w:r>
                    <w:rPr>
                      <w:rFonts w:ascii="Arial" w:hAnsi="Arial"/>
                      <w:sz w:val="21"/>
                    </w:rPr>
                    <w:fldChar w:fldCharType="separate"/>
                  </w:r>
                  <w:r>
                    <w:rPr>
                      <w:rStyle w:val="C2"/>
                      <w:rFonts w:ascii="Arial" w:hAnsi="Arial"/>
                      <w:sz w:val="21"/>
                    </w:rPr>
                    <w:t>LOINC</w:t>
                  </w:r>
                  <w:r>
                    <w:rPr>
                      <w:rStyle w:val="C2"/>
                      <w:rFonts w:ascii="Arial" w:hAnsi="Arial"/>
                      <w:sz w:val="21"/>
                    </w:rPr>
                    <w:fldChar w:fldCharType="end"/>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General References:</w:t>
            </w:r>
          </w:p>
        </w:tc>
        <w:tc>
          <w:tcPr>
            <w:tcW w:w="0" w:type="auto"/>
            <w:vAlign w:val="center"/>
          </w:tcPr>
          <w:p>
            <w:pPr>
              <w:spacing w:before="240" w:after="240"/>
              <w:ind w:left="0" w:right="0"/>
              <w:rPr>
                <w:rFonts w:ascii="Arial" w:hAnsi="Arial"/>
                <w:sz w:val="21"/>
              </w:rPr>
            </w:pPr>
            <w:r>
              <w:rPr>
                <w:rFonts w:ascii="Arial" w:hAnsi="Arial"/>
                <w:sz w:val="21"/>
              </w:rPr>
              <w:t>Cifuentes, P., Reichard, J., Im, W., Smith, S., Colen, C., Giurgescu, C., … Hood, D. B. (2019). Application of the Public Health Exposome Framework to estimate phenotypes of resilience in a model Ohio African-American women's cohort. Journal of Urban Health, 96(Suppl 1), 57–71.</w:t>
            </w:r>
          </w:p>
          <w:p>
            <w:pPr>
              <w:spacing w:before="240" w:after="240"/>
              <w:ind w:left="0" w:right="0"/>
              <w:rPr>
                <w:rFonts w:ascii="Arial" w:hAnsi="Arial"/>
                <w:sz w:val="21"/>
              </w:rPr>
            </w:pPr>
            <w:r>
              <w:rPr>
                <w:rFonts w:ascii="Arial" w:hAnsi="Arial"/>
                <w:sz w:val="21"/>
              </w:rPr>
              <w:t>Driver, A., Mehdizadeh, C., Bara-Garcia, S., Bodenreider, C., Lewis, J., &amp; Wilson, S. (2019). Utilization of the Maryland Environmental Justice Screening Tool: A Bladensburg, Maryland case study. International Journal of Environmental Research and Public Health, 16(3).</w:t>
            </w:r>
          </w:p>
          <w:p>
            <w:pPr>
              <w:spacing w:before="240" w:after="240"/>
              <w:ind w:left="0" w:right="0"/>
              <w:rPr>
                <w:rFonts w:ascii="Arial" w:hAnsi="Arial"/>
                <w:sz w:val="21"/>
              </w:rPr>
            </w:pPr>
            <w:r>
              <w:rPr>
                <w:rFonts w:ascii="Arial" w:hAnsi="Arial"/>
                <w:sz w:val="21"/>
              </w:rPr>
              <w:t>Rowangould, D., Rowangould, G., Craft, E., &amp; Niemeier, D. (2018). Validating and refining EPA's traffic exposure screening measure. International Journal of Environmental Research and Public Health, 16(1).</w:t>
            </w:r>
          </w:p>
          <w:p>
            <w:pPr>
              <w:spacing w:before="240" w:after="240"/>
              <w:ind w:left="0" w:right="0"/>
              <w:rPr>
                <w:rFonts w:ascii="Arial" w:hAnsi="Arial"/>
                <w:sz w:val="21"/>
              </w:rPr>
            </w:pPr>
            <w:r>
              <w:rPr>
                <w:rFonts w:ascii="Arial" w:hAnsi="Arial"/>
                <w:sz w:val="21"/>
              </w:rPr>
              <w:t>U.S. Environmental Protection Agency (EPA). (2019). Technical Documentation for EJSCREEN. Retrieved from https://www.epa.gov/ejscreen/technical-documentation-ejscreen</w:t>
            </w:r>
          </w:p>
        </w:tc>
      </w:tr>
      <w:tr>
        <w:tc>
          <w:tcPr>
            <w:tcW w:w="1000" w:type="pct"/>
            <w:vAlign w:val="center"/>
          </w:tcPr>
          <w:p>
            <w:pPr>
              <w:spacing w:before="240" w:after="240"/>
              <w:ind w:left="0" w:right="0"/>
              <w:rPr>
                <w:rFonts w:ascii="Arial" w:hAnsi="Arial"/>
                <w:sz w:val="21"/>
              </w:rPr>
            </w:pPr>
            <w:r>
              <w:rPr>
                <w:rFonts w:ascii="Arial" w:hAnsi="Arial"/>
                <w:b w:val="1"/>
                <w:sz w:val="21"/>
              </w:rPr>
              <w:t>Mode of Administration:</w:t>
            </w:r>
          </w:p>
        </w:tc>
        <w:tc>
          <w:tcPr>
            <w:tcW w:w="0" w:type="auto"/>
            <w:vAlign w:val="center"/>
          </w:tcPr>
          <w:p>
            <w:pPr>
              <w:ind w:left="0" w:right="0"/>
            </w:pPr>
            <w:r>
              <w:rPr>
                <w:rFonts w:ascii="Arial" w:hAnsi="Arial"/>
                <w:sz w:val="21"/>
              </w:rPr>
              <w:t xml:space="preserve">Secondary Data Analysis </w:t>
            </w:r>
          </w:p>
        </w:tc>
      </w:tr>
      <w:tr>
        <w:tc>
          <w:tcPr>
            <w:tcW w:w="1000" w:type="pct"/>
            <w:vAlign w:val="center"/>
          </w:tcPr>
          <w:p>
            <w:pPr>
              <w:spacing w:before="240" w:after="240"/>
              <w:ind w:left="0" w:right="0"/>
              <w:rPr>
                <w:rFonts w:ascii="Arial" w:hAnsi="Arial"/>
                <w:sz w:val="21"/>
              </w:rPr>
            </w:pPr>
            <w:r>
              <w:rPr>
                <w:rFonts w:ascii="Arial" w:hAnsi="Arial"/>
                <w:b w:val="1"/>
                <w:sz w:val="21"/>
              </w:rPr>
              <w:t>Derived Variables:</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Requirements: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Requirement Category</w:t>
                  </w:r>
                </w:p>
              </w:tc>
              <w:tc>
                <w:tcPr>
                  <w:tcW w:w="0" w:type="auto"/>
                  <w:vAlign w:val="center"/>
                </w:tcPr>
                <w:p>
                  <w:pPr>
                    <w:spacing w:before="240" w:after="240"/>
                    <w:ind w:left="0" w:right="0"/>
                    <w:rPr>
                      <w:rFonts w:ascii="Arial" w:hAnsi="Arial"/>
                      <w:sz w:val="21"/>
                    </w:rPr>
                  </w:pPr>
                  <w:r>
                    <w:rPr>
                      <w:rFonts w:ascii="Arial" w:hAnsi="Arial"/>
                      <w:b w:val="1"/>
                      <w:sz w:val="21"/>
                    </w:rPr>
                    <w:t>Required (Yes/No)</w:t>
                  </w:r>
                </w:p>
              </w:tc>
            </w:tr>
            <w:tr>
              <w:tc>
                <w:tcPr>
                  <w:tcW w:w="0" w:type="auto"/>
                  <w:vAlign w:val="center"/>
                </w:tcPr>
                <w:p>
                  <w:pPr>
                    <w:spacing w:before="240" w:after="240"/>
                    <w:ind w:left="0" w:right="0"/>
                    <w:rPr>
                      <w:rFonts w:ascii="Arial" w:hAnsi="Arial"/>
                      <w:sz w:val="21"/>
                    </w:rPr>
                  </w:pPr>
                  <w:r>
                    <w:rPr>
                      <w:rFonts w:ascii="Arial" w:hAnsi="Arial"/>
                      <w:b w:val="1"/>
                      <w:sz w:val="21"/>
                    </w:rPr>
                    <w:t>Major equipment</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training</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requirements for biospecimen collection</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Average time of greater than 15 minutes in an unaffected individual</w:t>
                  </w:r>
                </w:p>
              </w:tc>
              <w:tc>
                <w:tcPr>
                  <w:tcW w:w="0" w:type="auto"/>
                  <w:vAlign w:val="center"/>
                </w:tcPr>
                <w:p>
                  <w:pPr>
                    <w:spacing w:before="240" w:after="240"/>
                    <w:ind w:left="0" w:right="0"/>
                    <w:rPr>
                      <w:rFonts w:ascii="Arial" w:hAnsi="Arial"/>
                      <w:sz w:val="21"/>
                    </w:rPr>
                  </w:pPr>
                  <w:r>
                    <w:rPr>
                      <w:rFonts w:ascii="Arial" w:hAnsi="Arial"/>
                      <w:sz w:val="21"/>
                    </w:rPr>
                    <w:t>No</w:t>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Annotations for Specific Conditions:</w:t>
            </w:r>
          </w:p>
        </w:tc>
        <w:tc>
          <w:tcPr>
            <w:tcW w:w="0" w:type="auto"/>
            <w:vAlign w:val="center"/>
          </w:tcPr>
          <w:p>
            <w:pPr>
              <w:ind w:left="0" w:right="0"/>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Process and Review:</w:t>
            </w:r>
          </w:p>
        </w:tc>
        <w:tc>
          <w:tcPr>
            <w:tcW w:w="0" w:type="auto"/>
            <w:vAlign w:val="center"/>
          </w:tcPr>
          <w:p>
            <w:pPr>
              <w:spacing w:before="240" w:after="240"/>
              <w:ind w:left="0" w:right="0"/>
              <w:rPr>
                <w:rFonts w:ascii="Arial" w:hAnsi="Arial"/>
                <w:sz w:val="21"/>
              </w:rPr>
            </w:pPr>
            <w:r>
              <w:rPr>
                <w:rFonts w:ascii="Arial" w:hAnsi="Arial"/>
                <w:sz w:val="21"/>
              </w:rPr>
              <w:t>Not applicable</w:t>
            </w:r>
          </w:p>
        </w:tc>
      </w:tr>
    </w:tbl>
    <w:p>
      <w:pPr>
        <w:spacing w:before="240" w:after="240"/>
        <w:ind w:firstLine="0" w:left="0" w:right="0"/>
      </w:pPr>
    </w:p>
    <w:sectPr>
      <w:type w:val="nextPage"/>
      <w:pgMar w:left="1700" w:right="850" w:top="1133" w:bottom="1133" w:header="708" w:footer="708" w:gutter="0"/>
    </w:sectPr>
  </w:body>
</w:document>
</file>

<file path=word/numbering.xml><?xml version="1.0" encoding="utf-8"?>
<w:numbering xmlns:w="http://schemas.openxmlformats.org/wordprocessingml/2006/main">
  <w:abstractNum w:abstractNumId="0">
    <w:nsid w:val="1E60DD9D"/>
    <w:multiLevelType w:val="hybridMultilevel"/>
    <w:lvl w:ilvl="0" w:tplc="69C0818D">
      <w:start w:val="1"/>
      <w:numFmt w:val="decimal"/>
      <w:suff w:val="tab"/>
      <w:lvlText w:val="%1."/>
      <w:lvlJc w:val="left"/>
      <w:pPr>
        <w:ind w:hanging="360" w:left="720"/>
      </w:pPr>
      <w:rPr/>
    </w:lvl>
    <w:lvl w:ilvl="1" w:tplc="343D5B64">
      <w:start w:val="1"/>
      <w:numFmt w:val="decimal"/>
      <w:suff w:val="tab"/>
      <w:lvlText w:val="%2."/>
      <w:lvlJc w:val="left"/>
      <w:pPr>
        <w:ind w:hanging="360" w:left="1440"/>
      </w:pPr>
      <w:rPr/>
    </w:lvl>
    <w:lvl w:ilvl="2" w:tplc="425A5367">
      <w:start w:val="1"/>
      <w:numFmt w:val="decimal"/>
      <w:suff w:val="tab"/>
      <w:lvlText w:val="%3."/>
      <w:lvlJc w:val="left"/>
      <w:pPr>
        <w:ind w:hanging="360" w:left="2160"/>
      </w:pPr>
      <w:rPr/>
    </w:lvl>
    <w:lvl w:ilvl="3" w:tplc="4FFA2DA5">
      <w:start w:val="1"/>
      <w:numFmt w:val="decimal"/>
      <w:suff w:val="tab"/>
      <w:lvlText w:val="%4."/>
      <w:lvlJc w:val="left"/>
      <w:pPr>
        <w:ind w:hanging="360" w:left="2880"/>
      </w:pPr>
      <w:rPr/>
    </w:lvl>
    <w:lvl w:ilvl="4" w:tplc="495EE8B9">
      <w:start w:val="1"/>
      <w:numFmt w:val="decimal"/>
      <w:suff w:val="tab"/>
      <w:lvlText w:val="%5."/>
      <w:lvlJc w:val="left"/>
      <w:pPr>
        <w:ind w:hanging="360" w:left="3600"/>
      </w:pPr>
      <w:rPr/>
    </w:lvl>
    <w:lvl w:ilvl="5" w:tplc="4AD8D20A">
      <w:start w:val="1"/>
      <w:numFmt w:val="decimal"/>
      <w:suff w:val="tab"/>
      <w:lvlText w:val="%6."/>
      <w:lvlJc w:val="left"/>
      <w:pPr>
        <w:ind w:hanging="360" w:left="4320"/>
      </w:pPr>
      <w:rPr/>
    </w:lvl>
    <w:lvl w:ilvl="6" w:tplc="4515A0D3">
      <w:start w:val="1"/>
      <w:numFmt w:val="decimal"/>
      <w:suff w:val="tab"/>
      <w:lvlText w:val="%7."/>
      <w:lvlJc w:val="left"/>
      <w:pPr>
        <w:ind w:hanging="360" w:left="5040"/>
      </w:pPr>
      <w:rPr/>
    </w:lvl>
    <w:lvl w:ilvl="7" w:tplc="7F6DB19C">
      <w:start w:val="1"/>
      <w:numFmt w:val="decimal"/>
      <w:suff w:val="tab"/>
      <w:lvlText w:val="%8."/>
      <w:lvlJc w:val="left"/>
      <w:pPr>
        <w:ind w:hanging="360" w:left="5760"/>
      </w:pPr>
      <w:rPr/>
    </w:lvl>
    <w:lvl w:ilvl="8" w:tplc="4AFEE17B">
      <w:start w:val="1"/>
      <w:numFmt w:val="decimal"/>
      <w:suff w:val="tab"/>
      <w:lvlText w:val="%9."/>
      <w:lvlJc w:val="left"/>
      <w:pPr>
        <w:ind w:hanging="360" w:left="6480"/>
      </w:pPr>
      <w:rPr/>
    </w:lvl>
  </w:abstractNum>
  <w:abstractNum w:abstractNumId="1">
    <w:nsid w:val="5559B0DE"/>
    <w:multiLevelType w:val="hybridMultilevel"/>
    <w:lvl w:ilvl="0" w:tplc="7A13098D">
      <w:start w:val="1"/>
      <w:numFmt w:val="decimal"/>
      <w:suff w:val="tab"/>
      <w:lvlText w:val="%1."/>
      <w:lvlJc w:val="left"/>
      <w:pPr>
        <w:ind w:hanging="360" w:left="720"/>
      </w:pPr>
      <w:rPr/>
    </w:lvl>
    <w:lvl w:ilvl="1" w:tplc="55BA82BD">
      <w:start w:val="1"/>
      <w:numFmt w:val="bullet"/>
      <w:suff w:val="tab"/>
      <w:lvlText w:val="o"/>
      <w:lvlJc w:val="left"/>
      <w:pPr>
        <w:ind w:hanging="360" w:left="1440"/>
      </w:pPr>
      <w:rPr>
        <w:rFonts w:ascii="Courier New" w:hAnsi="Courier New"/>
      </w:rPr>
    </w:lvl>
    <w:lvl w:ilvl="2" w:tplc="0D8C60B1">
      <w:start w:val="1"/>
      <w:numFmt w:val="decimal"/>
      <w:suff w:val="tab"/>
      <w:lvlText w:val="%3."/>
      <w:lvlJc w:val="left"/>
      <w:pPr>
        <w:ind w:hanging="360" w:left="2160"/>
      </w:pPr>
      <w:rPr/>
    </w:lvl>
    <w:lvl w:ilvl="3" w:tplc="2283AAC6">
      <w:start w:val="1"/>
      <w:numFmt w:val="decimal"/>
      <w:suff w:val="tab"/>
      <w:lvlText w:val="%4."/>
      <w:lvlJc w:val="left"/>
      <w:pPr>
        <w:ind w:hanging="360" w:left="2880"/>
      </w:pPr>
      <w:rPr/>
    </w:lvl>
    <w:lvl w:ilvl="4" w:tplc="02441BC6">
      <w:start w:val="1"/>
      <w:numFmt w:val="decimal"/>
      <w:suff w:val="tab"/>
      <w:lvlText w:val="%5."/>
      <w:lvlJc w:val="left"/>
      <w:pPr>
        <w:ind w:hanging="360" w:left="3600"/>
      </w:pPr>
      <w:rPr/>
    </w:lvl>
    <w:lvl w:ilvl="5" w:tplc="6FA60BB2">
      <w:start w:val="1"/>
      <w:numFmt w:val="decimal"/>
      <w:suff w:val="tab"/>
      <w:lvlText w:val="%6."/>
      <w:lvlJc w:val="left"/>
      <w:pPr>
        <w:ind w:hanging="360" w:left="4320"/>
      </w:pPr>
      <w:rPr/>
    </w:lvl>
    <w:lvl w:ilvl="6" w:tplc="6345862F">
      <w:start w:val="1"/>
      <w:numFmt w:val="decimal"/>
      <w:suff w:val="tab"/>
      <w:lvlText w:val="%7."/>
      <w:lvlJc w:val="left"/>
      <w:pPr>
        <w:ind w:hanging="360" w:left="5040"/>
      </w:pPr>
      <w:rPr/>
    </w:lvl>
    <w:lvl w:ilvl="7" w:tplc="68FDE431">
      <w:start w:val="1"/>
      <w:numFmt w:val="decimal"/>
      <w:suff w:val="tab"/>
      <w:lvlText w:val="%8."/>
      <w:lvlJc w:val="left"/>
      <w:pPr>
        <w:ind w:hanging="360" w:left="5760"/>
      </w:pPr>
      <w:rPr/>
    </w:lvl>
    <w:lvl w:ilvl="8" w:tplc="14552582">
      <w:start w:val="1"/>
      <w:numFmt w:val="decimal"/>
      <w:suff w:val="tab"/>
      <w:lvlText w:val="%9."/>
      <w:lvlJc w:val="left"/>
      <w:pPr>
        <w:ind w:hanging="360" w:left="6480"/>
      </w:pPr>
      <w:rPr/>
    </w:lvl>
  </w:abstractNum>
  <w:abstractNum w:abstractNumId="2">
    <w:nsid w:val="4C62596A"/>
    <w:multiLevelType w:val="hybridMultilevel"/>
    <w:lvl w:ilvl="0" w:tplc="0112FB71">
      <w:start w:val="1"/>
      <w:numFmt w:val="bullet"/>
      <w:suff w:val="tab"/>
      <w:lvlText w:val="·"/>
      <w:lvlJc w:val="left"/>
      <w:pPr>
        <w:ind w:hanging="360" w:left="720"/>
      </w:pPr>
      <w:rPr>
        <w:rFonts w:ascii="Symbol" w:hAnsi="Symbol"/>
      </w:rPr>
    </w:lvl>
    <w:lvl w:ilvl="1" w:tplc="3AC3168C">
      <w:start w:val="1"/>
      <w:numFmt w:val="bullet"/>
      <w:suff w:val="tab"/>
      <w:lvlText w:val="o"/>
      <w:lvlJc w:val="left"/>
      <w:pPr>
        <w:ind w:hanging="360" w:left="1440"/>
      </w:pPr>
      <w:rPr>
        <w:rFonts w:ascii="Symbol" w:hAnsi="Symbol"/>
      </w:rPr>
    </w:lvl>
    <w:lvl w:ilvl="2" w:tplc="64D2BA5F">
      <w:start w:val="1"/>
      <w:numFmt w:val="bullet"/>
      <w:suff w:val="tab"/>
      <w:lvlText w:val="·"/>
      <w:lvlJc w:val="left"/>
      <w:pPr>
        <w:ind w:hanging="360" w:left="2160"/>
      </w:pPr>
      <w:rPr>
        <w:rFonts w:ascii="Symbol" w:hAnsi="Symbol"/>
      </w:rPr>
    </w:lvl>
    <w:lvl w:ilvl="3" w:tplc="599FDA7C">
      <w:start w:val="1"/>
      <w:numFmt w:val="bullet"/>
      <w:suff w:val="tab"/>
      <w:lvlText w:val="o"/>
      <w:lvlJc w:val="left"/>
      <w:pPr>
        <w:ind w:hanging="360" w:left="2880"/>
      </w:pPr>
      <w:rPr>
        <w:rFonts w:ascii="Symbol" w:hAnsi="Symbol"/>
      </w:rPr>
    </w:lvl>
    <w:lvl w:ilvl="4" w:tplc="77318C61">
      <w:start w:val="1"/>
      <w:numFmt w:val="bullet"/>
      <w:suff w:val="tab"/>
      <w:lvlText w:val="·"/>
      <w:lvlJc w:val="left"/>
      <w:pPr>
        <w:ind w:hanging="360" w:left="3600"/>
      </w:pPr>
      <w:rPr>
        <w:rFonts w:ascii="Symbol" w:hAnsi="Symbol"/>
      </w:rPr>
    </w:lvl>
    <w:lvl w:ilvl="5" w:tplc="406A5DF7">
      <w:start w:val="1"/>
      <w:numFmt w:val="bullet"/>
      <w:suff w:val="tab"/>
      <w:lvlText w:val="o"/>
      <w:lvlJc w:val="left"/>
      <w:pPr>
        <w:ind w:hanging="360" w:left="4320"/>
      </w:pPr>
      <w:rPr>
        <w:rFonts w:ascii="Symbol" w:hAnsi="Symbol"/>
      </w:rPr>
    </w:lvl>
    <w:lvl w:ilvl="6" w:tplc="593CDB68">
      <w:start w:val="1"/>
      <w:numFmt w:val="bullet"/>
      <w:suff w:val="tab"/>
      <w:lvlText w:val="·"/>
      <w:lvlJc w:val="left"/>
      <w:pPr>
        <w:ind w:hanging="360" w:left="5040"/>
      </w:pPr>
      <w:rPr>
        <w:rFonts w:ascii="Symbol" w:hAnsi="Symbol"/>
      </w:rPr>
    </w:lvl>
    <w:lvl w:ilvl="7" w:tplc="266CE919">
      <w:start w:val="1"/>
      <w:numFmt w:val="bullet"/>
      <w:suff w:val="tab"/>
      <w:lvlText w:val="o"/>
      <w:lvlJc w:val="left"/>
      <w:pPr>
        <w:ind w:hanging="360" w:left="5760"/>
      </w:pPr>
      <w:rPr>
        <w:rFonts w:ascii="Symbol" w:hAnsi="Symbol"/>
      </w:rPr>
    </w:lvl>
    <w:lvl w:ilvl="8" w:tplc="4B04F6B4">
      <w:start w:val="1"/>
      <w:numFmt w:val="bullet"/>
      <w:suff w:val="tab"/>
      <w:lvlText w:val="·"/>
      <w:lvlJc w:val="left"/>
      <w:pPr>
        <w:ind w:hanging="360" w:left="6480"/>
      </w:pPr>
      <w:rPr>
        <w:rFonts w:ascii="Symbol" w:hAnsi="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0"/>
  <w:defaultTabStop w:val="720"/>
  <w:autoHyphenation w:val="0"/>
  <w:evenAndOddHeaders w:val="0"/>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4"/>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2026-09-14T17:10:08Z</dcterms:created>
  <cp:lastModifiedBy>Williams, David</cp:lastModifiedBy>
  <dcterms:modified xsi:type="dcterms:W3CDTF">2026-09-14T17:10:08Z</dcterms:modified>
  <cp:revision>1</cp:revision>
</cp:coreProperties>
</file>