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theme/theme1.xml" ContentType="application/vnd.openxmlformats-officedocument.theme+xml"/>
</Types>
</file>

<file path=_rels/.rels>&#65279;<?xml version="1.0" encoding="utf-8"?><Relationships xmlns="http://schemas.openxmlformats.org/package/2006/relationships"><Relationship Id="R2C26AAE4" Type="http://schemas.openxmlformats.org/officeDocument/2006/relationships/officeDocument" Target="/word/document.xml" /><Relationship Id="coreR2C26AAE4"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tbl>
      <w:tblPr>
        <w:tblW w:w="5000" w:type="pct"/>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gridSpan w:val="2"/>
            <w:vAlign w:val="center"/>
          </w:tcPr>
          <w:p>
            <w:pPr>
              <w:spacing w:before="240" w:after="240"/>
              <w:ind w:left="0" w:right="0"/>
              <w:rPr>
                <w:rFonts w:ascii="Arial" w:hAnsi="Arial"/>
                <w:sz w:val="27"/>
              </w:rPr>
            </w:pPr>
            <w:r>
              <w:rPr>
                <w:rFonts w:ascii="Arial" w:hAnsi="Arial"/>
                <w:b w:val="1"/>
                <w:sz w:val="27"/>
              </w:rPr>
              <w:t>About the Measure</w:t>
            </w:r>
          </w:p>
        </w:tc>
      </w:tr>
      <w:tr>
        <w:tc>
          <w:tcPr>
            <w:tcW w:w="1000" w:type="pct"/>
            <w:vAlign w:val="center"/>
          </w:tcPr>
          <w:p>
            <w:pPr>
              <w:spacing w:before="240" w:after="240"/>
              <w:ind w:left="0" w:right="0"/>
              <w:rPr>
                <w:rFonts w:ascii="Arial" w:hAnsi="Arial"/>
                <w:sz w:val="21"/>
              </w:rPr>
            </w:pPr>
            <w:r>
              <w:rPr>
                <w:rFonts w:ascii="Arial" w:hAnsi="Arial"/>
                <w:b w:val="1"/>
                <w:sz w:val="21"/>
              </w:rPr>
              <w:t>Protocol Id</w:t>
            </w:r>
          </w:p>
        </w:tc>
        <w:tc>
          <w:tcPr>
            <w:tcW w:w="0" w:type="auto"/>
            <w:vAlign w:val="center"/>
          </w:tcPr>
          <w:p>
            <w:pPr>
              <w:spacing w:before="240" w:after="240"/>
              <w:ind w:left="0" w:right="0"/>
              <w:rPr>
                <w:rFonts w:ascii="Arial" w:hAnsi="Arial"/>
                <w:sz w:val="21"/>
              </w:rPr>
            </w:pPr>
            <w:r>
              <w:rPr>
                <w:rFonts w:ascii="Arial" w:hAnsi="Arial"/>
                <w:sz w:val="21"/>
              </w:rPr>
              <w:t>270501</w:t>
            </w:r>
          </w:p>
        </w:tc>
      </w:tr>
      <w:tr>
        <w:tc>
          <w:tcPr>
            <w:tcW w:w="1000" w:type="pct"/>
            <w:vAlign w:val="center"/>
          </w:tcPr>
          <w:p>
            <w:pPr>
              <w:spacing w:before="240" w:after="240"/>
              <w:ind w:left="0" w:right="0"/>
              <w:rPr>
                <w:rFonts w:ascii="Arial" w:hAnsi="Arial"/>
                <w:sz w:val="21"/>
              </w:rPr>
            </w:pPr>
            <w:r>
              <w:rPr>
                <w:rFonts w:ascii="Arial" w:hAnsi="Arial"/>
                <w:b w:val="1"/>
                <w:sz w:val="21"/>
              </w:rPr>
              <w:t>Domain:</w:t>
            </w:r>
          </w:p>
        </w:tc>
        <w:tc>
          <w:tcPr>
            <w:tcW w:w="0" w:type="auto"/>
            <w:vAlign w:val="center"/>
          </w:tcPr>
          <w:p>
            <w:pPr>
              <w:ind w:left="0" w:right="0"/>
            </w:pPr>
            <w:r>
              <w:rPr>
                <w:rFonts w:ascii="Arial" w:hAnsi="Arial"/>
                <w:sz w:val="21"/>
              </w:rPr>
              <w:t xml:space="preserve">Demographics and Social Determinants of Health: Core </w:t>
            </w:r>
          </w:p>
        </w:tc>
      </w:tr>
      <w:tr>
        <w:tc>
          <w:tcPr>
            <w:tcW w:w="1000" w:type="pct"/>
            <w:vAlign w:val="center"/>
          </w:tcPr>
          <w:p>
            <w:pPr>
              <w:spacing w:before="240" w:after="240"/>
              <w:ind w:left="0" w:right="0"/>
              <w:rPr>
                <w:rFonts w:ascii="Arial" w:hAnsi="Arial"/>
                <w:sz w:val="21"/>
              </w:rPr>
            </w:pPr>
            <w:r>
              <w:rPr>
                <w:rFonts w:ascii="Arial" w:hAnsi="Arial"/>
                <w:b w:val="1"/>
                <w:sz w:val="21"/>
              </w:rPr>
              <w:t>Measure:</w:t>
            </w:r>
          </w:p>
        </w:tc>
        <w:tc>
          <w:tcPr>
            <w:tcW w:w="0" w:type="auto"/>
            <w:vAlign w:val="center"/>
          </w:tcPr>
          <w:p>
            <w:pPr>
              <w:ind w:left="0" w:right="0"/>
            </w:pPr>
            <w:r>
              <w:rPr>
                <w:rFonts w:ascii="Arial" w:hAnsi="Arial"/>
                <w:sz w:val="21"/>
              </w:rPr>
              <w:t xml:space="preserve">Occupational Prestige </w:t>
            </w:r>
          </w:p>
        </w:tc>
      </w:tr>
      <w:tr>
        <w:tc>
          <w:tcPr>
            <w:tcW w:w="1000" w:type="pct"/>
            <w:vAlign w:val="center"/>
          </w:tcPr>
          <w:p>
            <w:pPr>
              <w:spacing w:before="240" w:after="240"/>
              <w:ind w:left="0" w:right="0"/>
              <w:rPr>
                <w:rFonts w:ascii="Arial" w:hAnsi="Arial"/>
                <w:sz w:val="21"/>
              </w:rPr>
            </w:pPr>
            <w:r>
              <w:rPr>
                <w:rFonts w:ascii="Arial" w:hAnsi="Arial"/>
                <w:b w:val="1"/>
                <w:sz w:val="21"/>
              </w:rPr>
              <w:t>Definition:</w:t>
            </w:r>
          </w:p>
        </w:tc>
        <w:tc>
          <w:tcPr>
            <w:tcW w:w="0" w:type="auto"/>
            <w:vAlign w:val="center"/>
          </w:tcPr>
          <w:p>
            <w:pPr>
              <w:ind w:left="0" w:right="0"/>
            </w:pPr>
            <w:r>
              <w:rPr>
                <w:rFonts w:ascii="Arial" w:hAnsi="Arial"/>
                <w:sz w:val="21"/>
              </w:rPr>
              <w:t xml:space="preserve">Occupational prestige is a construct that assigns a social status to a specific occupation. </w:t>
            </w:r>
          </w:p>
        </w:tc>
      </w:tr>
      <w:tr>
        <w:tc>
          <w:tcPr>
            <w:tcW w:w="1000" w:type="pct"/>
            <w:vAlign w:val="center"/>
          </w:tcPr>
          <w:p>
            <w:pPr>
              <w:spacing w:before="240" w:after="240"/>
              <w:ind w:left="0" w:right="0"/>
              <w:rPr>
                <w:rFonts w:ascii="Arial" w:hAnsi="Arial"/>
                <w:sz w:val="21"/>
              </w:rPr>
            </w:pPr>
            <w:r>
              <w:rPr>
                <w:rFonts w:ascii="Arial" w:hAnsi="Arial"/>
                <w:b w:val="1"/>
                <w:sz w:val="21"/>
              </w:rPr>
              <w:t>Purpose:</w:t>
            </w:r>
          </w:p>
        </w:tc>
        <w:tc>
          <w:tcPr>
            <w:tcW w:w="0" w:type="auto"/>
            <w:vAlign w:val="center"/>
          </w:tcPr>
          <w:p>
            <w:pPr>
              <w:ind w:left="0" w:right="0"/>
            </w:pPr>
            <w:r>
              <w:rPr>
                <w:rFonts w:ascii="Arial" w:hAnsi="Arial"/>
                <w:sz w:val="21"/>
              </w:rPr>
              <w:t xml:space="preserve">This measure describes a person’s relative social class and can be used to calculate a community-level view of careers. </w:t>
            </w:r>
          </w:p>
        </w:tc>
      </w:tr>
      <w:tr>
        <w:tc>
          <w:tcPr>
            <w:tcW w:w="1000" w:type="pct"/>
            <w:vAlign w:val="center"/>
          </w:tcPr>
          <w:p>
            <w:pPr>
              <w:spacing w:before="240" w:after="240"/>
              <w:ind w:left="0" w:right="0"/>
              <w:rPr>
                <w:rFonts w:ascii="Arial" w:hAnsi="Arial"/>
                <w:sz w:val="21"/>
              </w:rPr>
            </w:pPr>
            <w:r>
              <w:rPr>
                <w:rFonts w:ascii="Arial" w:hAnsi="Arial"/>
                <w:b w:val="1"/>
                <w:sz w:val="21"/>
              </w:rPr>
              <w:t>Essential PhenX Protocols:</w:t>
            </w:r>
          </w:p>
        </w:tc>
        <w:tc>
          <w:tcPr>
            <w:tcW w:w="0" w:type="auto"/>
            <w:vAlign w:val="center"/>
          </w:tcPr>
          <w:p>
            <w:pPr>
              <w:ind w:left="0" w:right="0"/>
            </w:pPr>
            <w:r>
              <w:rPr>
                <w:rFonts w:ascii="Arial" w:hAnsi="Arial"/>
                <w:sz w:val="21"/>
              </w:rPr>
              <w:t xml:space="preserve">Current Employment Status [11301] </w:t>
            </w:r>
          </w:p>
        </w:tc>
      </w:tr>
      <w:tr>
        <w:tc>
          <w:tcPr>
            <w:tcW w:w="1000" w:type="pct"/>
            <w:vAlign w:val="center"/>
          </w:tcPr>
          <w:p>
            <w:pPr>
              <w:spacing w:before="240" w:after="240"/>
              <w:ind w:left="0" w:right="0"/>
              <w:rPr>
                <w:rFonts w:ascii="Arial" w:hAnsi="Arial"/>
                <w:sz w:val="21"/>
              </w:rPr>
            </w:pPr>
            <w:r>
              <w:rPr>
                <w:rFonts w:ascii="Arial" w:hAnsi="Arial"/>
                <w:b w:val="1"/>
                <w:sz w:val="21"/>
              </w:rPr>
              <w:t>Related PhenX Protocols:</w:t>
            </w:r>
          </w:p>
        </w:tc>
        <w:tc>
          <w:tcPr>
            <w:tcW w:w="0" w:type="auto"/>
            <w:vAlign w:val="center"/>
          </w:tcPr>
          <w:p>
            <w:pPr>
              <w:ind w:left="0" w:right="0"/>
            </w:pPr>
            <w:r>
              <w:rPr>
                <w:rFonts w:ascii="Arial" w:hAnsi="Arial"/>
                <w:sz w:val="21"/>
              </w:rPr>
              <w:t xml:space="preserve">Occupation/Occupational History [60501] </w:t>
            </w:r>
          </w:p>
        </w:tc>
      </w:tr>
      <w:tr>
        <w:tc>
          <w:tcPr>
            <w:tcW w:w="1000" w:type="pct"/>
            <w:vAlign w:val="center"/>
          </w:tcPr>
          <w:p>
            <w:pPr>
              <w:spacing w:before="240" w:after="240"/>
              <w:ind w:left="0" w:right="0"/>
              <w:rPr>
                <w:rFonts w:ascii="Arial" w:hAnsi="Arial"/>
                <w:sz w:val="21"/>
              </w:rPr>
            </w:pPr>
            <w:r>
              <w:rPr>
                <w:rFonts w:ascii="Arial" w:hAnsi="Arial"/>
                <w:b w:val="1"/>
                <w:sz w:val="21"/>
              </w:rPr>
              <w:t>Measure Release Date:</w:t>
            </w:r>
          </w:p>
        </w:tc>
        <w:tc>
          <w:tcPr>
            <w:tcW w:w="0" w:type="auto"/>
            <w:vAlign w:val="center"/>
          </w:tcPr>
          <w:p>
            <w:pPr>
              <w:ind w:left="0" w:right="0"/>
            </w:pPr>
            <w:r>
              <w:rPr>
                <w:rFonts w:ascii="Arial" w:hAnsi="Arial"/>
                <w:sz w:val="21"/>
              </w:rPr>
              <w:t xml:space="preserve">May 11, 2020 </w:t>
            </w:r>
          </w:p>
        </w:tc>
      </w:tr>
    </w:tbl>
    <w:p>
      <w:pPr>
        <w:spacing w:before="0" w:after="0"/>
        <w:ind w:firstLine="0" w:left="0" w:right="0"/>
      </w:pPr>
      <w:r>
        <w:br w:type="textWrapping"/>
      </w:r>
    </w:p>
    <w:tbl>
      <w:tblPr>
        <w:tblW w:w="5000" w:type="pct"/>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gridSpan w:val="2"/>
            <w:vAlign w:val="center"/>
          </w:tcPr>
          <w:p>
            <w:pPr>
              <w:spacing w:before="240" w:after="240"/>
              <w:ind w:left="0" w:right="0"/>
              <w:rPr>
                <w:rFonts w:ascii="Arial" w:hAnsi="Arial"/>
                <w:sz w:val="27"/>
              </w:rPr>
            </w:pPr>
            <w:r>
              <w:rPr>
                <w:rFonts w:ascii="Arial" w:hAnsi="Arial"/>
                <w:b w:val="1"/>
                <w:sz w:val="27"/>
              </w:rPr>
              <w:t>About the Protocol</w:t>
            </w:r>
          </w:p>
        </w:tc>
      </w:tr>
      <w:tr>
        <w:tc>
          <w:tcPr>
            <w:tcW w:w="1000" w:type="pct"/>
            <w:vAlign w:val="center"/>
          </w:tcPr>
          <w:p>
            <w:pPr>
              <w:spacing w:before="240" w:after="240"/>
              <w:ind w:left="0" w:right="0"/>
              <w:rPr>
                <w:rFonts w:ascii="Arial" w:hAnsi="Arial"/>
                <w:sz w:val="21"/>
              </w:rPr>
            </w:pPr>
            <w:r>
              <w:rPr>
                <w:rFonts w:ascii="Arial" w:hAnsi="Arial"/>
                <w:b w:val="1"/>
                <w:sz w:val="21"/>
              </w:rPr>
              <w:t>Protocol Release Date:</w:t>
            </w:r>
          </w:p>
        </w:tc>
        <w:tc>
          <w:tcPr>
            <w:tcW w:w="0" w:type="auto"/>
            <w:vAlign w:val="center"/>
          </w:tcPr>
          <w:p>
            <w:pPr>
              <w:ind w:left="0" w:right="0"/>
            </w:pPr>
            <w:r>
              <w:rPr>
                <w:rFonts w:ascii="Arial" w:hAnsi="Arial"/>
                <w:sz w:val="21"/>
              </w:rPr>
              <w:t xml:space="preserve">May 11, 2020 </w:t>
            </w:r>
          </w:p>
        </w:tc>
      </w:tr>
      <w:tr>
        <w:tc>
          <w:tcPr>
            <w:tcW w:w="1000" w:type="pct"/>
            <w:vAlign w:val="center"/>
          </w:tcPr>
          <w:p>
            <w:pPr>
              <w:spacing w:before="240" w:after="240"/>
              <w:ind w:left="0" w:right="0"/>
              <w:rPr>
                <w:rFonts w:ascii="Arial" w:hAnsi="Arial"/>
                <w:sz w:val="21"/>
              </w:rPr>
            </w:pPr>
            <w:r>
              <w:rPr>
                <w:rFonts w:ascii="Arial" w:hAnsi="Arial"/>
                <w:b w:val="1"/>
                <w:sz w:val="21"/>
              </w:rPr>
              <w:t>Protocol Review Date:</w:t>
            </w:r>
          </w:p>
        </w:tc>
        <w:tc>
          <w:tcPr>
            <w:tcW w:w="0" w:type="auto"/>
            <w:vAlign w:val="center"/>
          </w:tcPr>
          <w:p>
            <w:pPr>
              <w:ind w:left="0" w:right="0"/>
            </w:pPr>
            <w:r>
              <w:rPr>
                <w:rFonts w:ascii="Arial" w:hAnsi="Arial"/>
                <w:sz w:val="21"/>
              </w:rPr>
              <w:t xml:space="preserve">NA </w:t>
            </w:r>
          </w:p>
        </w:tc>
      </w:tr>
      <w:tr>
        <w:tc>
          <w:tcPr>
            <w:tcW w:w="1000" w:type="pct"/>
            <w:vAlign w:val="center"/>
          </w:tcPr>
          <w:p>
            <w:pPr>
              <w:spacing w:before="240" w:after="240"/>
              <w:ind w:left="0" w:right="0"/>
              <w:rPr>
                <w:rFonts w:ascii="Arial" w:hAnsi="Arial"/>
                <w:sz w:val="21"/>
              </w:rPr>
            </w:pPr>
            <w:r>
              <w:rPr>
                <w:rFonts w:ascii="Arial" w:hAnsi="Arial"/>
                <w:b w:val="1"/>
                <w:sz w:val="21"/>
              </w:rPr>
              <w:t>PhenX Protocol Name:</w:t>
            </w:r>
          </w:p>
        </w:tc>
        <w:tc>
          <w:tcPr>
            <w:tcW w:w="0" w:type="auto"/>
            <w:vAlign w:val="center"/>
          </w:tcPr>
          <w:p>
            <w:pPr>
              <w:ind w:left="0" w:right="0"/>
            </w:pPr>
            <w:r>
              <w:rPr>
                <w:rFonts w:ascii="Arial" w:hAnsi="Arial"/>
                <w:sz w:val="21"/>
              </w:rPr>
              <w:t xml:space="preserve">Occupational Prestige </w:t>
            </w:r>
          </w:p>
        </w:tc>
      </w:tr>
      <w:tr>
        <w:tc>
          <w:tcPr>
            <w:tcW w:w="1000" w:type="pct"/>
            <w:vAlign w:val="center"/>
          </w:tcPr>
          <w:p>
            <w:pPr>
              <w:spacing w:before="240" w:after="240"/>
              <w:ind w:left="0" w:right="0"/>
              <w:rPr>
                <w:rFonts w:ascii="Arial" w:hAnsi="Arial"/>
                <w:sz w:val="21"/>
              </w:rPr>
            </w:pPr>
            <w:r>
              <w:rPr>
                <w:rFonts w:ascii="Arial" w:hAnsi="Arial"/>
                <w:b w:val="1"/>
                <w:sz w:val="21"/>
              </w:rPr>
              <w:t>Protocol Name From Source:</w:t>
            </w:r>
          </w:p>
        </w:tc>
        <w:tc>
          <w:tcPr>
            <w:tcW w:w="0" w:type="auto"/>
            <w:vAlign w:val="center"/>
          </w:tcPr>
          <w:p>
            <w:pPr>
              <w:ind w:left="0" w:right="0"/>
            </w:pPr>
            <w:r>
              <w:rPr>
                <w:rFonts w:ascii="Arial" w:hAnsi="Arial"/>
                <w:sz w:val="21"/>
              </w:rPr>
              <w:t xml:space="preserve">Not applicable; see source. </w:t>
            </w:r>
          </w:p>
        </w:tc>
      </w:tr>
      <w:tr>
        <w:tc>
          <w:tcPr>
            <w:tcW w:w="1000" w:type="pct"/>
            <w:vAlign w:val="center"/>
          </w:tcPr>
          <w:p>
            <w:pPr>
              <w:spacing w:before="240" w:after="240"/>
              <w:ind w:left="0" w:right="0"/>
              <w:rPr>
                <w:rFonts w:ascii="Arial" w:hAnsi="Arial"/>
                <w:sz w:val="21"/>
              </w:rPr>
            </w:pPr>
            <w:r>
              <w:rPr>
                <w:rFonts w:ascii="Arial" w:hAnsi="Arial"/>
                <w:b w:val="1"/>
                <w:sz w:val="21"/>
              </w:rPr>
              <w:t>Protocol Availability:</w:t>
            </w:r>
          </w:p>
        </w:tc>
        <w:tc>
          <w:tcPr>
            <w:tcW w:w="0" w:type="auto"/>
            <w:vAlign w:val="center"/>
          </w:tcPr>
          <w:p>
            <w:pPr>
              <w:ind w:left="0" w:right="0"/>
            </w:pPr>
            <w:r>
              <w:rPr>
                <w:rFonts w:ascii="Arial" w:hAnsi="Arial"/>
                <w:sz w:val="21"/>
              </w:rPr>
              <w:t xml:space="preserve">Available </w:t>
            </w:r>
          </w:p>
        </w:tc>
      </w:tr>
      <w:tr>
        <w:tc>
          <w:tcPr>
            <w:tcW w:w="1000" w:type="pct"/>
            <w:vAlign w:val="center"/>
          </w:tcPr>
          <w:p>
            <w:pPr>
              <w:spacing w:before="240" w:after="240"/>
              <w:ind w:left="0" w:right="0"/>
              <w:rPr>
                <w:rFonts w:ascii="Arial" w:hAnsi="Arial"/>
                <w:sz w:val="21"/>
              </w:rPr>
            </w:pPr>
            <w:r>
              <w:rPr>
                <w:rFonts w:ascii="Arial" w:hAnsi="Arial"/>
                <w:b w:val="1"/>
                <w:sz w:val="21"/>
              </w:rPr>
              <w:t>Keywords:</w:t>
            </w:r>
          </w:p>
        </w:tc>
        <w:tc>
          <w:tcPr>
            <w:tcW w:w="0" w:type="auto"/>
            <w:vAlign w:val="center"/>
          </w:tcPr>
          <w:p>
            <w:pPr>
              <w:ind w:left="0" w:right="0"/>
            </w:pPr>
            <w:r>
              <w:rPr>
                <w:rFonts w:ascii="Arial" w:hAnsi="Arial"/>
                <w:sz w:val="21"/>
              </w:rPr>
              <w:t xml:space="preserve">American Community Survey; ACS; General Social Survey; GSS; occupational status; SES Measures (income; education; occupation); work characteristics </w:t>
            </w:r>
          </w:p>
        </w:tc>
      </w:tr>
      <w:tr>
        <w:tc>
          <w:tcPr>
            <w:tcW w:w="1000" w:type="pct"/>
            <w:vAlign w:val="center"/>
          </w:tcPr>
          <w:p>
            <w:pPr>
              <w:spacing w:before="240" w:after="240"/>
              <w:ind w:left="0" w:right="0"/>
              <w:rPr>
                <w:rFonts w:ascii="Arial" w:hAnsi="Arial"/>
                <w:sz w:val="21"/>
              </w:rPr>
            </w:pPr>
            <w:r>
              <w:rPr>
                <w:rFonts w:ascii="Arial" w:hAnsi="Arial"/>
                <w:b w:val="1"/>
                <w:sz w:val="21"/>
              </w:rPr>
              <w:t>Description:</w:t>
            </w:r>
          </w:p>
        </w:tc>
        <w:tc>
          <w:tcPr>
            <w:tcW w:w="0" w:type="auto"/>
            <w:vAlign w:val="center"/>
          </w:tcPr>
          <w:p>
            <w:pPr>
              <w:spacing w:before="240" w:after="240"/>
              <w:ind w:left="0" w:right="0"/>
              <w:rPr>
                <w:rFonts w:ascii="Arial" w:hAnsi="Arial"/>
                <w:sz w:val="21"/>
              </w:rPr>
            </w:pPr>
            <w:bookmarkStart w:id="0" w:name="_Hlk8890013"/>
            <w:r>
              <w:rPr>
                <w:rFonts w:ascii="Arial" w:hAnsi="Arial"/>
                <w:sz w:val="21"/>
              </w:rPr>
              <w:t xml:space="preserve">This protocol includes two self-administered questions from the American Community Survey (ACS) that capture the respondent’s type of work and most important activities. The respective occupational prestige scores can then be derived from the General Social Survey Codebook Appendix F: Occupational Classification Distributions. Prestige scores are based on a consensus-perceived worthiness and range from 0 to 100, with 0 being the lowest and 100 being the highest. </w:t>
            </w:r>
            <w:bookmarkEnd w:id="0"/>
          </w:p>
        </w:tc>
      </w:tr>
      <w:tr>
        <w:tc>
          <w:tcPr>
            <w:tcW w:w="1000" w:type="pct"/>
            <w:vAlign w:val="center"/>
          </w:tcPr>
          <w:p>
            <w:pPr>
              <w:spacing w:before="240" w:after="240"/>
              <w:ind w:left="0" w:right="0"/>
              <w:rPr>
                <w:rFonts w:ascii="Arial" w:hAnsi="Arial"/>
                <w:sz w:val="21"/>
              </w:rPr>
            </w:pPr>
            <w:r>
              <w:rPr>
                <w:rFonts w:ascii="Arial" w:hAnsi="Arial"/>
                <w:b w:val="1"/>
                <w:sz w:val="21"/>
              </w:rPr>
              <w:t>Specific Instructions:</w:t>
            </w:r>
          </w:p>
        </w:tc>
        <w:tc>
          <w:tcPr>
            <w:tcW w:w="0" w:type="auto"/>
            <w:vAlign w:val="center"/>
          </w:tcPr>
          <w:p>
            <w:pPr>
              <w:spacing w:before="240" w:after="240"/>
              <w:ind w:left="0" w:right="0"/>
              <w:rPr>
                <w:rFonts w:ascii="Arial" w:hAnsi="Arial"/>
                <w:sz w:val="21"/>
              </w:rPr>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Protocol:</w:t>
            </w:r>
          </w:p>
        </w:tc>
        <w:tc>
          <w:tcPr>
            <w:tcW w:w="0" w:type="auto"/>
            <w:vAlign w:val="center"/>
          </w:tcPr>
          <w:p>
            <w:pPr>
              <w:spacing w:before="240" w:after="240"/>
              <w:ind w:left="0" w:right="0"/>
              <w:rPr>
                <w:rFonts w:ascii="Arial" w:hAnsi="Arial"/>
                <w:sz w:val="21"/>
              </w:rPr>
            </w:pPr>
            <w:r>
              <w:rPr>
                <w:rFonts w:ascii="Arial" w:hAnsi="Arial"/>
                <w:b w:val="1"/>
                <w:sz w:val="21"/>
              </w:rPr>
              <w:t>Employment Questions from the American Community Survey</w:t>
            </w:r>
          </w:p>
          <w:p>
            <w:pPr>
              <w:spacing w:before="240" w:after="240"/>
              <w:ind w:left="0" w:right="0"/>
              <w:rPr>
                <w:rFonts w:ascii="Arial" w:hAnsi="Arial"/>
                <w:sz w:val="21"/>
              </w:rPr>
            </w:pPr>
            <w:r>
              <w:rPr>
                <w:rFonts w:ascii="Arial" w:hAnsi="Arial"/>
                <w:sz w:val="21"/>
              </w:rPr>
              <w:t>For employed people, the data refer to the persons job during the previous week. For those who worked two or more jobs, the data refer to the job where the person worked the greatest number of hours. For unemployed people and people who are not currently employed but report having a job within the last five years, the data refer to their last job.</w:t>
            </w:r>
          </w:p>
          <w:p>
            <w:pPr>
              <w:spacing w:before="240" w:after="240"/>
              <w:ind w:left="0" w:right="0"/>
              <w:rPr>
                <w:rFonts w:ascii="Arial" w:hAnsi="Arial"/>
                <w:sz w:val="21"/>
              </w:rPr>
            </w:pPr>
            <w:r>
              <w:rPr>
                <w:rFonts w:ascii="Arial" w:hAnsi="Arial"/>
                <w:sz w:val="21"/>
              </w:rPr>
              <w:t>1. What was this persons main occupation?</w:t>
            </w:r>
          </w:p>
          <w:p>
            <w:pPr>
              <w:spacing w:before="240" w:after="240"/>
              <w:ind w:left="0" w:right="0"/>
              <w:rPr>
                <w:rFonts w:ascii="Arial" w:hAnsi="Arial"/>
                <w:sz w:val="21"/>
              </w:rPr>
            </w:pPr>
            <w:r>
              <w:rPr>
                <w:rFonts w:ascii="Arial" w:hAnsi="Arial"/>
                <w:sz w:val="21"/>
              </w:rPr>
              <w:t>(For example: 4th grade teacher, entry-level plumber) (Fill-in-the-blank field)</w:t>
            </w:r>
          </w:p>
          <w:p>
            <w:pPr>
              <w:spacing w:before="240" w:after="240"/>
              <w:ind w:left="0" w:right="0"/>
              <w:rPr>
                <w:rFonts w:ascii="Arial" w:hAnsi="Arial"/>
                <w:sz w:val="21"/>
              </w:rPr>
            </w:pPr>
            <w:r>
              <w:rPr>
                <w:rFonts w:ascii="Arial" w:hAnsi="Arial"/>
                <w:sz w:val="21"/>
              </w:rPr>
              <w:t>2. Describe this persons most important activities or duties. (For example: instruct and evaluate students and create lesson plans, assemble and install pipe sections and review building plans for work details) (Fill-in-the-blank field)</w:t>
            </w:r>
          </w:p>
          <w:p>
            <w:pPr>
              <w:spacing w:before="240" w:after="240"/>
              <w:ind w:left="0" w:right="0"/>
              <w:rPr>
                <w:rFonts w:ascii="Arial" w:hAnsi="Arial"/>
                <w:sz w:val="21"/>
              </w:rPr>
            </w:pPr>
            <w:r>
              <w:rPr>
                <w:rFonts w:ascii="Arial" w:hAnsi="Arial"/>
                <w:b w:val="1"/>
                <w:sz w:val="21"/>
              </w:rPr>
              <w:t>Prestige Scores from the General Social Survey</w:t>
            </w:r>
          </w:p>
          <w:p>
            <w:pPr>
              <w:spacing w:before="240" w:after="240"/>
              <w:ind w:left="0" w:right="0"/>
              <w:rPr>
                <w:rFonts w:ascii="Arial" w:hAnsi="Arial"/>
                <w:sz w:val="21"/>
              </w:rPr>
            </w:pPr>
            <w:r>
              <w:rPr>
                <w:rFonts w:ascii="Arial" w:hAnsi="Arial"/>
                <w:sz w:val="21"/>
              </w:rPr>
              <w:t xml:space="preserve">In the OCCUPATIONAL CLASSIFICATION DISTRIBUTIONS codebook, the U.S. Census Bureau assigned a three-digit number code to each occupational title. These codes appear under the column headed "Punch, Occupation". Match the user response to the job title. The respective occupational ‘Prestige Score can be found in the same row (e.g. Accountants have a prestige score of 57). </w:t>
            </w:r>
          </w:p>
          <w:p>
            <w:pPr>
              <w:spacing w:before="240" w:after="240"/>
              <w:ind w:left="0" w:right="0"/>
              <w:rPr>
                <w:rFonts w:ascii="Arial" w:hAnsi="Arial"/>
                <w:sz w:val="21"/>
              </w:rPr>
            </w:pPr>
            <w:r>
              <w:rPr>
                <w:rFonts w:ascii="Arial" w:hAnsi="Arial"/>
                <w:sz w:val="21"/>
              </w:rPr>
              <w:t xml:space="preserve">Access to the code book can be found here: </w:t>
            </w:r>
          </w:p>
          <w:p>
            <w:pPr>
              <w:spacing w:before="240" w:after="240"/>
              <w:ind w:left="0" w:right="0"/>
              <w:rPr>
                <w:rFonts w:ascii="Arial" w:hAnsi="Arial"/>
                <w:sz w:val="21"/>
              </w:rPr>
            </w:pPr>
            <w:r>
              <w:rPr>
                <w:rFonts w:ascii="Arial" w:hAnsi="Arial"/>
                <w:sz w:val="21"/>
              </w:rPr>
              <w:t>[link[gss.norc.org/documents/codebook/GSS_Codebook_AppendixF.pdf|http://gss.norc.org/documents/codebook/GSS_Codebook_AppendixF.pdf]]</w:t>
            </w:r>
          </w:p>
        </w:tc>
      </w:tr>
      <w:tr>
        <w:tc>
          <w:tcPr>
            <w:tcW w:w="1000" w:type="pct"/>
            <w:vAlign w:val="center"/>
          </w:tcPr>
          <w:p>
            <w:pPr>
              <w:spacing w:before="240" w:after="240"/>
              <w:ind w:left="0" w:right="0"/>
              <w:rPr>
                <w:rFonts w:ascii="Arial" w:hAnsi="Arial"/>
                <w:sz w:val="21"/>
              </w:rPr>
            </w:pPr>
            <w:r>
              <w:rPr>
                <w:rFonts w:ascii="Arial" w:hAnsi="Arial"/>
                <w:b w:val="1"/>
                <w:sz w:val="21"/>
              </w:rPr>
              <w:t>Selection Rationale:</w:t>
            </w:r>
          </w:p>
        </w:tc>
        <w:tc>
          <w:tcPr>
            <w:tcW w:w="0" w:type="auto"/>
            <w:vAlign w:val="center"/>
          </w:tcPr>
          <w:p>
            <w:pPr>
              <w:spacing w:before="240" w:after="240"/>
              <w:ind w:left="0" w:right="0"/>
              <w:rPr>
                <w:rFonts w:ascii="Arial" w:hAnsi="Arial"/>
                <w:sz w:val="21"/>
              </w:rPr>
            </w:pPr>
            <w:r>
              <w:rPr>
                <w:rFonts w:ascii="Arial" w:hAnsi="Arial"/>
                <w:sz w:val="21"/>
              </w:rPr>
              <w:t>The ACS is an ongoing survey by the U.S. Census Bureau. It regularly gathers information previously contained only in the long form of the decennial census.</w:t>
            </w:r>
          </w:p>
          <w:p>
            <w:pPr>
              <w:spacing w:before="240" w:after="240"/>
              <w:ind w:left="0" w:right="0"/>
              <w:rPr>
                <w:rFonts w:ascii="Arial" w:hAnsi="Arial"/>
                <w:sz w:val="21"/>
              </w:rPr>
            </w:pPr>
            <w:r>
              <w:rPr>
                <w:rFonts w:ascii="Arial" w:hAnsi="Arial"/>
                <w:sz w:val="21"/>
              </w:rPr>
              <w:t>The ACS asks about the work a person was doing and that persons most important duties at that job to produce industry and occupation statistics.</w:t>
            </w:r>
          </w:p>
          <w:p>
            <w:pPr>
              <w:spacing w:before="240" w:after="240"/>
              <w:ind w:left="0" w:right="0"/>
              <w:rPr>
                <w:rFonts w:ascii="Arial" w:hAnsi="Arial"/>
                <w:sz w:val="21"/>
              </w:rPr>
            </w:pPr>
            <w:r>
              <w:rPr>
                <w:rFonts w:ascii="Arial" w:hAnsi="Arial"/>
                <w:sz w:val="21"/>
              </w:rPr>
              <w:t>These statistics are used to understand more about the labor force; to plan and measure education, employment, career development and job training programs; and to measure compliance with antidiscrimination policies.</w:t>
            </w:r>
          </w:p>
          <w:p>
            <w:pPr>
              <w:spacing w:before="240" w:after="240"/>
              <w:ind w:left="0" w:right="0"/>
              <w:rPr>
                <w:rFonts w:ascii="Arial" w:hAnsi="Arial"/>
                <w:sz w:val="21"/>
              </w:rPr>
            </w:pPr>
            <w:r>
              <w:rPr>
                <w:rFonts w:ascii="Arial" w:hAnsi="Arial"/>
                <w:sz w:val="21"/>
              </w:rPr>
              <w:t>The occupation scores from the General Social Survey were developed using a sample that is representative of the U.S. population and can therefore provide an unbiased prestige estimate.</w:t>
            </w:r>
          </w:p>
          <w:p>
            <w:pPr>
              <w:spacing w:before="240" w:after="240"/>
              <w:ind w:left="0" w:right="0"/>
              <w:rPr>
                <w:rFonts w:ascii="Arial" w:hAnsi="Arial"/>
                <w:sz w:val="21"/>
              </w:rPr>
            </w:pPr>
            <w:r>
              <w:rPr>
                <w:rFonts w:ascii="Arial" w:hAnsi="Arial"/>
                <w:sz w:val="21"/>
              </w:rPr>
              <w:t>The Occupational Classification Distributions includes three 5-digit occupational classifications. In the first classification, the first three digits are the 1970 U.S. census occupational codes, and the last two digits are the Hodge-Siegel-Rossi (HSR) prestige scores. In the second classification, the first three digits are the 1980 U.S. census occupational codes, and the last two digits are the NORC/General Social Survey (GSS) prestige scores. The third classification uses 2010 U.S. census occupational codes. The most recent modification was in 2018. This is important to see the changes in the occupation scores over time. This classification is based on the 2018 Standard Occupational Classification (SOC), published by the Executive Office of the President, Office of Management and Budget. Updated codes, deleted codes and new codes are explained here: [link[www2.census.gov/programs-surveys/demo/guidance/industry-occupation/overview2019.pdf|https://www2.census.gov/programs-surveys/demo/guidance/industry-occupation/overview2019.pdf]]</w:t>
            </w:r>
          </w:p>
          <w:p>
            <w:pPr>
              <w:spacing w:before="240" w:after="240"/>
              <w:ind w:left="0" w:right="0"/>
              <w:rPr>
                <w:rFonts w:ascii="Arial" w:hAnsi="Arial"/>
                <w:sz w:val="21"/>
              </w:rPr>
            </w:pPr>
            <w:r>
              <w:rPr>
                <w:rFonts w:ascii="Arial" w:hAnsi="Arial"/>
                <w:sz w:val="21"/>
              </w:rPr>
              <w:t xml:space="preserve">The 2021 GSS occupational prestige study will be used in several ways. First, those occupational titles used in 2012 that were rated in the 1963-1965 and/or 1989 surveys can be used to study changes in the social standing of those specific occupations. Core occupations asked of all respondents would be most suitable for such analysis. Second, an occupational prestige variable (PRESTG10), based on the 2010 census classification of occupations (OCC10), will be created. It will be parallel to GSS variables PRESTIGE, based on the 1970 census codes (OCC70) and the 1963-1965 HSR studies, and PRESTG80, based on the 1980 census codes (OCC80) and 1989 GSS prestige study. Similar occupational prestige variables will be created for the 2010 occupational variables for mother, father, and spouse (MAOCC10, PAOCC10, SPOCC10). Finally, the new occupational prestige variables will be used to create socioeconomic index (SEI) variables for respondents, mothers, fathers, and spouses parallel to the existing SEI variables for earlier occupational codes (SEI, MASEI, PASEI, SPSEI). </w:t>
            </w:r>
          </w:p>
          <w:p>
            <w:pPr>
              <w:spacing w:before="240" w:after="240"/>
              <w:ind w:left="0" w:right="0"/>
              <w:rPr>
                <w:rFonts w:ascii="Arial" w:hAnsi="Arial"/>
                <w:sz w:val="21"/>
              </w:rPr>
            </w:pPr>
            <w:r>
              <w:rPr>
                <w:rFonts w:ascii="Arial" w:hAnsi="Arial"/>
                <w:sz w:val="21"/>
              </w:rPr>
              <w:t>Codebook: [link[gss.norc.org/Documents/codebook/GSS%202021%20Codebook%20R1.pdf|https://gss.norc.org/Documents/codebook/GSS%202021%20Codebook%20R1.pdf]]</w:t>
            </w:r>
          </w:p>
          <w:p>
            <w:pPr>
              <w:spacing w:before="240" w:after="240"/>
              <w:ind w:left="0" w:right="0"/>
              <w:rPr>
                <w:rFonts w:ascii="Arial" w:hAnsi="Arial"/>
                <w:sz w:val="21"/>
              </w:rPr>
            </w:pPr>
            <w:r>
              <w:rPr>
                <w:rFonts w:ascii="Arial" w:hAnsi="Arial"/>
                <w:sz w:val="21"/>
              </w:rPr>
              <w:t>Prestige and Socioeconomic Scores for the 2010 Census Codes: [link[gss.norc.org/Documents/reports/methodological-reports/MR124.pdf|https://gss.norc.org/Documents/reports/methodological-reports/MR124.pdf]]</w:t>
            </w:r>
          </w:p>
        </w:tc>
      </w:tr>
      <w:tr>
        <w:tc>
          <w:tcPr>
            <w:tcW w:w="1000" w:type="pct"/>
            <w:vAlign w:val="center"/>
          </w:tcPr>
          <w:p>
            <w:pPr>
              <w:spacing w:before="240" w:after="240"/>
              <w:ind w:left="0" w:right="0"/>
              <w:rPr>
                <w:rFonts w:ascii="Arial" w:hAnsi="Arial"/>
                <w:sz w:val="21"/>
              </w:rPr>
            </w:pPr>
            <w:r>
              <w:rPr>
                <w:rFonts w:ascii="Arial" w:hAnsi="Arial"/>
                <w:b w:val="1"/>
                <w:sz w:val="21"/>
              </w:rPr>
              <w:t>Source:</w:t>
            </w:r>
          </w:p>
        </w:tc>
        <w:tc>
          <w:tcPr>
            <w:tcW w:w="0" w:type="auto"/>
            <w:vAlign w:val="center"/>
          </w:tcPr>
          <w:p>
            <w:pPr>
              <w:spacing w:before="240" w:after="240"/>
              <w:ind w:left="0" w:right="0"/>
              <w:rPr>
                <w:rFonts w:ascii="Arial" w:hAnsi="Arial"/>
                <w:sz w:val="21"/>
              </w:rPr>
            </w:pPr>
            <w:r>
              <w:rPr>
                <w:rFonts w:ascii="Arial" w:hAnsi="Arial"/>
                <w:sz w:val="21"/>
              </w:rPr>
              <w:t>U.S. Census Bureau. (1970). Occupational Classification Distributions. Retrieved from [link[gss.norc.org/documents/codebook/GSS_Codebook_AppendixF.pdf|http://gss.norc.org/documents/codebook/GSS_Codebook_AppendixF.pdf]]</w:t>
            </w:r>
          </w:p>
          <w:p>
            <w:pPr>
              <w:spacing w:before="240" w:after="240"/>
              <w:ind w:left="0" w:right="0"/>
              <w:rPr>
                <w:rFonts w:ascii="Arial" w:hAnsi="Arial"/>
                <w:sz w:val="21"/>
              </w:rPr>
            </w:pPr>
            <w:r>
              <w:rPr>
                <w:rFonts w:ascii="Arial" w:hAnsi="Arial"/>
                <w:sz w:val="21"/>
              </w:rPr>
              <w:t>U.S. Census Bureau. (2022). American Community Survey (ACS), questions 42e and 42f. Retrieved from [link[www2.census.gov/programs-surveys/acs/methodology/questionnaires/2022/quest22.pdf|https://www2.census.gov/programs-surveys/acs/methodology/questionnaires/2022/quest22.pdf]]</w:t>
            </w:r>
          </w:p>
          <w:p>
            <w:pPr>
              <w:spacing w:before="240" w:after="240"/>
              <w:ind w:left="0" w:right="0"/>
              <w:rPr>
                <w:rFonts w:ascii="Arial" w:hAnsi="Arial"/>
                <w:sz w:val="21"/>
              </w:rPr>
            </w:pPr>
            <w:r>
              <w:rPr>
                <w:rFonts w:ascii="Arial" w:hAnsi="Arial"/>
                <w:sz w:val="21"/>
              </w:rPr>
              <w:t>U.S. Census Bureau. (2021, November 20). About Occupation. Retrieved from [link[www.census.gov/topics/employment/industry-occupation/about/occupation.html|https://www.census.gov/topics/employment/industry-occupation/about/occupation.html]]</w:t>
            </w:r>
          </w:p>
        </w:tc>
      </w:tr>
      <w:tr>
        <w:tc>
          <w:tcPr>
            <w:tcW w:w="1000" w:type="pct"/>
            <w:vAlign w:val="center"/>
          </w:tcPr>
          <w:p>
            <w:pPr>
              <w:spacing w:before="240" w:after="240"/>
              <w:ind w:left="0" w:right="0"/>
              <w:rPr>
                <w:rFonts w:ascii="Arial" w:hAnsi="Arial"/>
                <w:sz w:val="21"/>
              </w:rPr>
            </w:pPr>
            <w:r>
              <w:rPr>
                <w:rFonts w:ascii="Arial" w:hAnsi="Arial"/>
                <w:b w:val="1"/>
                <w:sz w:val="21"/>
              </w:rPr>
              <w:t>Language</w:t>
            </w:r>
          </w:p>
        </w:tc>
        <w:tc>
          <w:tcPr>
            <w:tcW w:w="0" w:type="auto"/>
            <w:vAlign w:val="center"/>
          </w:tcPr>
          <w:p>
            <w:pPr>
              <w:ind w:left="0" w:right="0"/>
            </w:pPr>
            <w:r>
              <w:rPr>
                <w:rFonts w:ascii="Arial" w:hAnsi="Arial"/>
                <w:sz w:val="21"/>
              </w:rPr>
              <w:t xml:space="preserve">English </w:t>
            </w:r>
          </w:p>
        </w:tc>
      </w:tr>
      <w:tr>
        <w:tc>
          <w:tcPr>
            <w:tcW w:w="1000" w:type="pct"/>
            <w:vAlign w:val="center"/>
          </w:tcPr>
          <w:p>
            <w:pPr>
              <w:spacing w:before="240" w:after="240"/>
              <w:ind w:left="0" w:right="0"/>
              <w:rPr>
                <w:rFonts w:ascii="Arial" w:hAnsi="Arial"/>
                <w:sz w:val="21"/>
              </w:rPr>
            </w:pPr>
            <w:r>
              <w:rPr>
                <w:rFonts w:ascii="Arial" w:hAnsi="Arial"/>
                <w:b w:val="1"/>
                <w:sz w:val="21"/>
              </w:rPr>
              <w:t>Participant:</w:t>
            </w:r>
          </w:p>
        </w:tc>
        <w:tc>
          <w:tcPr>
            <w:tcW w:w="0" w:type="auto"/>
            <w:vAlign w:val="center"/>
          </w:tcPr>
          <w:p>
            <w:pPr>
              <w:spacing w:before="240" w:after="240"/>
              <w:ind w:left="0" w:right="0"/>
              <w:rPr>
                <w:rFonts w:ascii="Arial" w:hAnsi="Arial"/>
                <w:sz w:val="21"/>
              </w:rPr>
            </w:pPr>
            <w:r>
              <w:rPr>
                <w:rFonts w:ascii="Arial" w:hAnsi="Arial"/>
                <w:sz w:val="21"/>
              </w:rPr>
              <w:t>Participant is to be 18 years or older</w:t>
            </w:r>
          </w:p>
        </w:tc>
      </w:tr>
      <w:tr>
        <w:tc>
          <w:tcPr>
            <w:tcW w:w="1000" w:type="pct"/>
            <w:vAlign w:val="center"/>
          </w:tcPr>
          <w:p>
            <w:pPr>
              <w:spacing w:before="240" w:after="240"/>
              <w:ind w:left="0" w:right="0"/>
              <w:rPr>
                <w:rFonts w:ascii="Arial" w:hAnsi="Arial"/>
                <w:sz w:val="21"/>
              </w:rPr>
            </w:pPr>
            <w:r>
              <w:rPr>
                <w:rFonts w:ascii="Arial" w:hAnsi="Arial"/>
                <w:b w:val="1"/>
                <w:sz w:val="21"/>
              </w:rPr>
              <w:t>Personnel and Training Required:</w:t>
            </w:r>
          </w:p>
        </w:tc>
        <w:tc>
          <w:tcPr>
            <w:tcW w:w="0" w:type="auto"/>
            <w:vAlign w:val="center"/>
          </w:tcPr>
          <w:p>
            <w:pPr>
              <w:spacing w:before="240" w:after="240"/>
              <w:ind w:left="0" w:right="0"/>
              <w:rPr>
                <w:rFonts w:ascii="Arial" w:hAnsi="Arial"/>
                <w:sz w:val="21"/>
              </w:rPr>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Equipment Needs:</w:t>
            </w:r>
          </w:p>
        </w:tc>
        <w:tc>
          <w:tcPr>
            <w:tcW w:w="0" w:type="auto"/>
            <w:vAlign w:val="center"/>
          </w:tcPr>
          <w:p>
            <w:pPr>
              <w:spacing w:before="240" w:after="240"/>
              <w:ind w:left="0" w:right="0"/>
              <w:rPr>
                <w:rFonts w:ascii="Arial" w:hAnsi="Arial"/>
                <w:sz w:val="21"/>
              </w:rPr>
            </w:pPr>
            <w:r>
              <w:rPr>
                <w:rFonts w:ascii="Arial" w:hAnsi="Arial"/>
                <w:sz w:val="21"/>
              </w:rPr>
              <w:t>Access to a desktop/laptop computer with internet access to download raw data from the U.S. Census Bureaus Explore Census Data website ([link[data.census.gov/|https://data.census.gov/]]). Statistical Packages (e.g., SPSS, SAS) for data manipulation.</w:t>
            </w:r>
          </w:p>
        </w:tc>
      </w:tr>
      <w:tr>
        <w:tc>
          <w:tcPr>
            <w:tcW w:w="1000" w:type="pct"/>
            <w:vAlign w:val="center"/>
          </w:tcPr>
          <w:p>
            <w:pPr>
              <w:spacing w:before="240" w:after="240"/>
              <w:ind w:left="0" w:right="0"/>
              <w:rPr>
                <w:rFonts w:ascii="Arial" w:hAnsi="Arial"/>
                <w:sz w:val="21"/>
              </w:rPr>
            </w:pPr>
            <w:r>
              <w:rPr>
                <w:rFonts w:ascii="Arial" w:hAnsi="Arial"/>
                <w:b w:val="1"/>
                <w:sz w:val="21"/>
              </w:rPr>
              <w:t>Standards</w:t>
            </w:r>
          </w:p>
        </w:tc>
        <w:tc>
          <w:tcPr>
            <w:tcW w:w="0" w:type="auto"/>
            <w:vAlign w:val="center"/>
          </w:tcPr>
          <w:tbl>
            <w:tblPr>
              <w:tblW w:w="0" w:type="auto"/>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vAlign w:val="center"/>
                </w:tcPr>
                <w:p>
                  <w:pPr>
                    <w:spacing w:before="240" w:after="240"/>
                    <w:ind w:left="0" w:right="0"/>
                    <w:rPr>
                      <w:rFonts w:ascii="Arial" w:hAnsi="Arial"/>
                      <w:sz w:val="21"/>
                    </w:rPr>
                  </w:pPr>
                  <w:r>
                    <w:rPr>
                      <w:rFonts w:ascii="Arial" w:hAnsi="Arial"/>
                      <w:b w:val="1"/>
                      <w:sz w:val="21"/>
                    </w:rPr>
                    <w:t>Standard</w:t>
                  </w:r>
                </w:p>
              </w:tc>
              <w:tc>
                <w:tcPr>
                  <w:tcW w:w="0" w:type="auto"/>
                  <w:vAlign w:val="center"/>
                </w:tcPr>
                <w:p>
                  <w:pPr>
                    <w:spacing w:before="240" w:after="240"/>
                    <w:ind w:left="0" w:right="0"/>
                    <w:rPr>
                      <w:rFonts w:ascii="Arial" w:hAnsi="Arial"/>
                      <w:sz w:val="21"/>
                    </w:rPr>
                  </w:pPr>
                  <w:r>
                    <w:rPr>
                      <w:rFonts w:ascii="Arial" w:hAnsi="Arial"/>
                      <w:b w:val="1"/>
                      <w:sz w:val="21"/>
                    </w:rPr>
                    <w:t>Name</w:t>
                  </w:r>
                </w:p>
              </w:tc>
              <w:tc>
                <w:tcPr>
                  <w:tcW w:w="0" w:type="auto"/>
                  <w:vAlign w:val="center"/>
                </w:tcPr>
                <w:p>
                  <w:pPr>
                    <w:spacing w:before="240" w:after="240"/>
                    <w:ind w:left="0" w:right="0"/>
                    <w:rPr>
                      <w:rFonts w:ascii="Arial" w:hAnsi="Arial"/>
                      <w:sz w:val="21"/>
                    </w:rPr>
                  </w:pPr>
                  <w:r>
                    <w:rPr>
                      <w:rFonts w:ascii="Arial" w:hAnsi="Arial"/>
                      <w:b w:val="1"/>
                      <w:sz w:val="21"/>
                    </w:rPr>
                    <w:t>ID</w:t>
                  </w:r>
                </w:p>
              </w:tc>
              <w:tc>
                <w:tcPr>
                  <w:tcW w:w="0" w:type="auto"/>
                  <w:vAlign w:val="center"/>
                </w:tcPr>
                <w:p>
                  <w:pPr>
                    <w:spacing w:before="240" w:after="240"/>
                    <w:ind w:left="0" w:right="0"/>
                    <w:rPr>
                      <w:rFonts w:ascii="Arial" w:hAnsi="Arial"/>
                      <w:sz w:val="21"/>
                    </w:rPr>
                  </w:pPr>
                  <w:r>
                    <w:rPr>
                      <w:rFonts w:ascii="Arial" w:hAnsi="Arial"/>
                      <w:b w:val="1"/>
                      <w:sz w:val="21"/>
                    </w:rPr>
                    <w:t>Source</w:t>
                  </w:r>
                </w:p>
              </w:tc>
            </w:tr>
            <w:tr>
              <w:tc>
                <w:tcPr>
                  <w:tcW w:w="0" w:type="auto"/>
                  <w:vAlign w:val="center"/>
                </w:tcPr>
                <w:p>
                  <w:pPr>
                    <w:spacing w:before="240" w:after="240"/>
                    <w:ind w:left="0" w:right="0"/>
                    <w:rPr>
                      <w:rFonts w:ascii="Arial" w:hAnsi="Arial"/>
                      <w:sz w:val="21"/>
                    </w:rPr>
                  </w:pPr>
                  <w:r>
                    <w:rPr>
                      <w:rFonts w:ascii="Arial" w:hAnsi="Arial"/>
                      <w:sz w:val="21"/>
                    </w:rPr>
                    <w:t>Logical Observation Identifiers Names and Codes (LOINC)</w:t>
                  </w:r>
                </w:p>
              </w:tc>
              <w:tc>
                <w:tcPr>
                  <w:tcW w:w="0" w:type="auto"/>
                  <w:vAlign w:val="center"/>
                </w:tcPr>
                <w:p>
                  <w:pPr>
                    <w:spacing w:before="240" w:after="240"/>
                    <w:ind w:left="0" w:right="0"/>
                    <w:rPr>
                      <w:rFonts w:ascii="Arial" w:hAnsi="Arial"/>
                      <w:sz w:val="21"/>
                    </w:rPr>
                  </w:pPr>
                  <w:r>
                    <w:rPr>
                      <w:rFonts w:ascii="Arial" w:hAnsi="Arial"/>
                      <w:sz w:val="21"/>
                    </w:rPr>
                    <w:t>Phenx - Occupational prestige protocol 270501</w:t>
                  </w:r>
                </w:p>
              </w:tc>
              <w:tc>
                <w:tcPr>
                  <w:tcW w:w="0" w:type="auto"/>
                  <w:vAlign w:val="center"/>
                </w:tcPr>
                <w:p>
                  <w:pPr>
                    <w:spacing w:before="240" w:after="240"/>
                    <w:ind w:left="0" w:right="0"/>
                    <w:rPr>
                      <w:rFonts w:ascii="Arial" w:hAnsi="Arial"/>
                      <w:sz w:val="21"/>
                    </w:rPr>
                  </w:pPr>
                  <w:r>
                    <w:rPr>
                      <w:rFonts w:ascii="Arial" w:hAnsi="Arial"/>
                      <w:sz w:val="21"/>
                    </w:rPr>
                    <w:t>104570-7</w:t>
                  </w:r>
                </w:p>
              </w:tc>
              <w:tc>
                <w:tcPr>
                  <w:tcW w:w="0" w:type="auto"/>
                  <w:vAlign w:val="center"/>
                </w:tcPr>
                <w:p>
                  <w:pPr>
                    <w:spacing w:before="240" w:after="240"/>
                    <w:ind w:left="0" w:right="0"/>
                    <w:rPr>
                      <w:rFonts w:ascii="Arial" w:hAnsi="Arial"/>
                      <w:sz w:val="21"/>
                    </w:rPr>
                  </w:pPr>
                  <w:r>
                    <w:rPr>
                      <w:rFonts w:ascii="Arial" w:hAnsi="Arial"/>
                      <w:sz w:val="21"/>
                    </w:rPr>
                    <w:fldChar w:fldCharType="begin"/>
                  </w:r>
                  <w:r>
                    <w:rPr>
                      <w:rFonts w:ascii="Arial" w:hAnsi="Arial"/>
                      <w:sz w:val="21"/>
                    </w:rPr>
                    <w:instrText>HYPERLINK "http://s.details.loinc.org/LOINC/&lt;INSERT_ID&gt;.html?sections=Web"</w:instrText>
                  </w:r>
                  <w:r>
                    <w:rPr>
                      <w:rFonts w:ascii="Arial" w:hAnsi="Arial"/>
                      <w:sz w:val="21"/>
                    </w:rPr>
                    <w:fldChar w:fldCharType="separate"/>
                  </w:r>
                  <w:r>
                    <w:rPr>
                      <w:rStyle w:val="C2"/>
                      <w:rFonts w:ascii="Arial" w:hAnsi="Arial"/>
                      <w:sz w:val="21"/>
                    </w:rPr>
                    <w:t>LOINC</w:t>
                  </w:r>
                  <w:r>
                    <w:rPr>
                      <w:rStyle w:val="C2"/>
                      <w:rFonts w:ascii="Arial" w:hAnsi="Arial"/>
                      <w:sz w:val="21"/>
                    </w:rPr>
                    <w:fldChar w:fldCharType="end"/>
                  </w:r>
                </w:p>
              </w:tc>
            </w:tr>
          </w:tbl>
          <w:p>
            <w:pPr>
              <w:ind w:left="0" w:right="0"/>
            </w:pPr>
          </w:p>
        </w:tc>
      </w:tr>
      <w:tr>
        <w:tc>
          <w:tcPr>
            <w:tcW w:w="1000" w:type="pct"/>
            <w:vAlign w:val="center"/>
          </w:tcPr>
          <w:p>
            <w:pPr>
              <w:spacing w:before="240" w:after="240"/>
              <w:ind w:left="0" w:right="0"/>
              <w:rPr>
                <w:rFonts w:ascii="Arial" w:hAnsi="Arial"/>
                <w:sz w:val="21"/>
              </w:rPr>
            </w:pPr>
            <w:r>
              <w:rPr>
                <w:rFonts w:ascii="Arial" w:hAnsi="Arial"/>
                <w:b w:val="1"/>
                <w:sz w:val="21"/>
              </w:rPr>
              <w:t>General References:</w:t>
            </w:r>
          </w:p>
        </w:tc>
        <w:tc>
          <w:tcPr>
            <w:tcW w:w="0" w:type="auto"/>
            <w:vAlign w:val="center"/>
          </w:tcPr>
          <w:p>
            <w:pPr>
              <w:spacing w:before="240" w:after="240"/>
              <w:ind w:left="0" w:right="0"/>
              <w:rPr>
                <w:rFonts w:ascii="Arial" w:hAnsi="Arial"/>
                <w:sz w:val="21"/>
              </w:rPr>
            </w:pPr>
            <w:r>
              <w:rPr>
                <w:rFonts w:ascii="Arial" w:hAnsi="Arial"/>
                <w:sz w:val="21"/>
              </w:rPr>
              <w:t>Fernandez, C. A., Christ, S. L., LeBlanc, W. G., Arheart, K. L., Dietz, N. A., McCollister, K. E., … Lee, D. J. (2015). Effect of childhood victimization on occupational prestige and income trajectories. PLoS One, 10(2), e0115519.</w:t>
            </w:r>
          </w:p>
          <w:p>
            <w:pPr>
              <w:spacing w:before="240" w:after="240"/>
              <w:ind w:left="0" w:right="0"/>
              <w:rPr>
                <w:rFonts w:ascii="Arial" w:hAnsi="Arial"/>
                <w:sz w:val="21"/>
              </w:rPr>
            </w:pPr>
            <w:r>
              <w:rPr>
                <w:rFonts w:ascii="Arial" w:hAnsi="Arial"/>
                <w:sz w:val="21"/>
              </w:rPr>
              <w:t>Frederick, C. (2010). A crosswalk for using pre-2000 occupational status and prestige codes with post-2000 occupation codes (Working Paper No. 2010-03). Center for Demography and Ecology, University of Wisconsin-Madison, WI. PMID: 25506974</w:t>
            </w:r>
          </w:p>
          <w:p>
            <w:pPr>
              <w:spacing w:before="240" w:after="240"/>
              <w:ind w:left="0" w:right="0"/>
              <w:rPr>
                <w:rFonts w:ascii="Arial" w:hAnsi="Arial"/>
                <w:sz w:val="21"/>
              </w:rPr>
            </w:pPr>
            <w:r>
              <w:rPr>
                <w:rFonts w:ascii="Arial" w:hAnsi="Arial"/>
                <w:sz w:val="21"/>
              </w:rPr>
              <w:t>Fujishiro, K., Xu, J., &amp; Gong, F. (2010). What does "occupation" represent as an indicator of socioeconomic status? Exploring occupational prestige and health. Social Science &amp; Medicine, 71(12), 2100–2107.</w:t>
            </w:r>
          </w:p>
          <w:p>
            <w:pPr>
              <w:spacing w:before="240" w:after="240"/>
              <w:ind w:left="0" w:right="0"/>
              <w:rPr>
                <w:rFonts w:ascii="Arial" w:hAnsi="Arial"/>
                <w:sz w:val="21"/>
              </w:rPr>
            </w:pPr>
            <w:r>
              <w:rPr>
                <w:rFonts w:ascii="Arial" w:hAnsi="Arial"/>
                <w:sz w:val="21"/>
              </w:rPr>
              <w:t>Nakao, K., &amp; Treas, J. (1992). The 1989 socioeconomic index of occupations: Construction from the 1989 occupational prestige scores. GSS Methodological Report, 74.</w:t>
            </w:r>
          </w:p>
          <w:p>
            <w:pPr>
              <w:spacing w:before="240" w:after="240"/>
              <w:ind w:left="0" w:right="0"/>
              <w:rPr>
                <w:rFonts w:ascii="Arial" w:hAnsi="Arial"/>
                <w:sz w:val="21"/>
              </w:rPr>
            </w:pPr>
            <w:r>
              <w:rPr>
                <w:rFonts w:ascii="Arial" w:hAnsi="Arial"/>
                <w:sz w:val="21"/>
              </w:rPr>
              <w:t>U.S. Census Bureau. (2022). The American Community Survey. American Community Survey (ACS). Retrieved from [link[www2.census.gov/programs-surveys/acs/methodology/questionnaires/2022/quest22.pdf|https://www2.census.gov/programs-surveys/acs/methodology/questionnaires/2022/quest22.pdf]]</w:t>
            </w:r>
          </w:p>
          <w:p>
            <w:pPr>
              <w:spacing w:before="240" w:after="240"/>
              <w:ind w:left="0" w:right="0"/>
              <w:rPr>
                <w:rFonts w:ascii="Arial" w:hAnsi="Arial"/>
                <w:sz w:val="21"/>
              </w:rPr>
            </w:pPr>
            <w:r>
              <w:rPr>
                <w:rFonts w:ascii="Arial" w:hAnsi="Arial"/>
                <w:sz w:val="21"/>
              </w:rPr>
              <w:t xml:space="preserve">U.S. Census Bureau. (2020). U.S. Department of Commerce, Economics and Statistics Administration. Retrieved from [link[census.gov/|https://census.gov/]] </w:t>
            </w:r>
          </w:p>
        </w:tc>
      </w:tr>
      <w:tr>
        <w:tc>
          <w:tcPr>
            <w:tcW w:w="1000" w:type="pct"/>
            <w:vAlign w:val="center"/>
          </w:tcPr>
          <w:p>
            <w:pPr>
              <w:spacing w:before="240" w:after="240"/>
              <w:ind w:left="0" w:right="0"/>
              <w:rPr>
                <w:rFonts w:ascii="Arial" w:hAnsi="Arial"/>
                <w:sz w:val="21"/>
              </w:rPr>
            </w:pPr>
            <w:r>
              <w:rPr>
                <w:rFonts w:ascii="Arial" w:hAnsi="Arial"/>
                <w:b w:val="1"/>
                <w:sz w:val="21"/>
              </w:rPr>
              <w:t>Mode of Administration:</w:t>
            </w:r>
          </w:p>
        </w:tc>
        <w:tc>
          <w:tcPr>
            <w:tcW w:w="0" w:type="auto"/>
            <w:vAlign w:val="center"/>
          </w:tcPr>
          <w:p>
            <w:pPr>
              <w:ind w:left="0" w:right="0"/>
            </w:pPr>
            <w:r>
              <w:rPr>
                <w:rFonts w:ascii="Arial" w:hAnsi="Arial"/>
                <w:sz w:val="21"/>
              </w:rPr>
              <w:t xml:space="preserve">Self-Report </w:t>
            </w:r>
          </w:p>
        </w:tc>
      </w:tr>
      <w:tr>
        <w:tc>
          <w:tcPr>
            <w:tcW w:w="1000" w:type="pct"/>
            <w:vAlign w:val="center"/>
          </w:tcPr>
          <w:p>
            <w:pPr>
              <w:spacing w:before="240" w:after="240"/>
              <w:ind w:left="0" w:right="0"/>
              <w:rPr>
                <w:rFonts w:ascii="Arial" w:hAnsi="Arial"/>
                <w:sz w:val="21"/>
              </w:rPr>
            </w:pPr>
            <w:r>
              <w:rPr>
                <w:rFonts w:ascii="Arial" w:hAnsi="Arial"/>
                <w:b w:val="1"/>
                <w:sz w:val="21"/>
              </w:rPr>
              <w:t>Derived Variables:</w:t>
            </w:r>
          </w:p>
        </w:tc>
        <w:tc>
          <w:tcPr>
            <w:tcW w:w="0" w:type="auto"/>
            <w:vAlign w:val="center"/>
          </w:tcPr>
          <w:p>
            <w:pPr>
              <w:spacing w:before="240" w:after="240"/>
              <w:ind w:left="0" w:right="0"/>
              <w:rPr>
                <w:rFonts w:ascii="Arial" w:hAnsi="Arial"/>
                <w:sz w:val="21"/>
              </w:rPr>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Requirements:</w:t>
            </w:r>
          </w:p>
        </w:tc>
        <w:tc>
          <w:tcPr>
            <w:tcW w:w="0" w:type="auto"/>
            <w:vAlign w:val="center"/>
          </w:tcPr>
          <w:tbl>
            <w:tblPr>
              <w:tblW w:w="0" w:type="auto"/>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vAlign w:val="center"/>
                </w:tcPr>
                <w:p>
                  <w:pPr>
                    <w:spacing w:before="240" w:after="240"/>
                    <w:ind w:left="0" w:right="0"/>
                    <w:rPr>
                      <w:rFonts w:ascii="Arial" w:hAnsi="Arial"/>
                      <w:sz w:val="21"/>
                    </w:rPr>
                  </w:pPr>
                  <w:r>
                    <w:rPr>
                      <w:rFonts w:ascii="Arial" w:hAnsi="Arial"/>
                      <w:b w:val="1"/>
                      <w:sz w:val="21"/>
                    </w:rPr>
                    <w:t>Requirement Category</w:t>
                  </w:r>
                </w:p>
              </w:tc>
              <w:tc>
                <w:tcPr>
                  <w:tcW w:w="0" w:type="auto"/>
                  <w:vAlign w:val="center"/>
                </w:tcPr>
                <w:p>
                  <w:pPr>
                    <w:spacing w:before="240" w:after="240"/>
                    <w:ind w:left="0" w:right="0"/>
                    <w:rPr>
                      <w:rFonts w:ascii="Arial" w:hAnsi="Arial"/>
                      <w:sz w:val="21"/>
                    </w:rPr>
                  </w:pPr>
                  <w:r>
                    <w:rPr>
                      <w:rFonts w:ascii="Arial" w:hAnsi="Arial"/>
                      <w:b w:val="1"/>
                      <w:sz w:val="21"/>
                    </w:rPr>
                    <w:t>Required (Yes/No)</w:t>
                  </w:r>
                </w:p>
              </w:tc>
            </w:tr>
            <w:tr>
              <w:tc>
                <w:tcPr>
                  <w:tcW w:w="0" w:type="auto"/>
                  <w:vAlign w:val="center"/>
                </w:tcPr>
                <w:p>
                  <w:pPr>
                    <w:spacing w:before="240" w:after="240"/>
                    <w:ind w:left="0" w:right="0"/>
                    <w:rPr>
                      <w:rFonts w:ascii="Arial" w:hAnsi="Arial"/>
                      <w:sz w:val="21"/>
                    </w:rPr>
                  </w:pPr>
                  <w:r>
                    <w:rPr>
                      <w:rFonts w:ascii="Arial" w:hAnsi="Arial"/>
                      <w:b w:val="1"/>
                      <w:sz w:val="21"/>
                    </w:rPr>
                    <w:t>Major equipment</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Specialized training</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Specialized requirements for biospecimen collection</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Average time of greater than 15 minutes in an unaffected individual</w:t>
                  </w:r>
                </w:p>
              </w:tc>
              <w:tc>
                <w:tcPr>
                  <w:tcW w:w="0" w:type="auto"/>
                  <w:vAlign w:val="center"/>
                </w:tcPr>
                <w:p>
                  <w:pPr>
                    <w:spacing w:before="240" w:after="240"/>
                    <w:ind w:left="0" w:right="0"/>
                    <w:rPr>
                      <w:rFonts w:ascii="Arial" w:hAnsi="Arial"/>
                      <w:sz w:val="21"/>
                    </w:rPr>
                  </w:pPr>
                  <w:r>
                    <w:rPr>
                      <w:rFonts w:ascii="Arial" w:hAnsi="Arial"/>
                      <w:sz w:val="21"/>
                    </w:rPr>
                    <w:t>No</w:t>
                  </w:r>
                </w:p>
              </w:tc>
            </w:tr>
          </w:tbl>
          <w:p>
            <w:pPr>
              <w:ind w:left="0" w:right="0"/>
            </w:pPr>
          </w:p>
        </w:tc>
      </w:tr>
      <w:tr>
        <w:tc>
          <w:tcPr>
            <w:tcW w:w="1000" w:type="pct"/>
            <w:vAlign w:val="center"/>
          </w:tcPr>
          <w:p>
            <w:pPr>
              <w:spacing w:before="240" w:after="240"/>
              <w:ind w:left="0" w:right="0"/>
              <w:rPr>
                <w:rFonts w:ascii="Arial" w:hAnsi="Arial"/>
                <w:sz w:val="21"/>
              </w:rPr>
            </w:pPr>
            <w:r>
              <w:rPr>
                <w:rFonts w:ascii="Arial" w:hAnsi="Arial"/>
                <w:b w:val="1"/>
                <w:sz w:val="21"/>
              </w:rPr>
              <w:t>Annotations for Specific Conditions:</w:t>
            </w:r>
          </w:p>
        </w:tc>
        <w:tc>
          <w:tcPr>
            <w:tcW w:w="0" w:type="auto"/>
            <w:vAlign w:val="center"/>
          </w:tcPr>
          <w:p>
            <w:pPr>
              <w:ind w:left="0" w:right="0"/>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Process and Review:</w:t>
            </w:r>
          </w:p>
        </w:tc>
        <w:tc>
          <w:tcPr>
            <w:tcW w:w="0" w:type="auto"/>
            <w:vAlign w:val="center"/>
          </w:tcPr>
          <w:p>
            <w:pPr>
              <w:spacing w:before="240" w:after="240"/>
              <w:ind w:left="0" w:right="0"/>
              <w:rPr>
                <w:rFonts w:ascii="Arial" w:hAnsi="Arial"/>
                <w:sz w:val="21"/>
              </w:rPr>
            </w:pPr>
            <w:r>
              <w:rPr>
                <w:rFonts w:ascii="Arial" w:hAnsi="Arial"/>
                <w:sz w:val="21"/>
              </w:rPr>
              <w:t>The Social Determinants of Health-X (SDoH-X) Working Group (WG) reviewed this protocol in May 2022.</w:t>
            </w:r>
          </w:p>
          <w:p>
            <w:pPr>
              <w:spacing w:before="240" w:after="240"/>
              <w:ind w:left="0" w:right="0"/>
              <w:rPr>
                <w:rFonts w:ascii="Arial" w:hAnsi="Arial"/>
                <w:sz w:val="21"/>
              </w:rPr>
            </w:pPr>
            <w:r>
              <w:rPr>
                <w:rFonts w:ascii="Arial" w:hAnsi="Arial"/>
                <w:sz w:val="21"/>
              </w:rPr>
              <w:t>Guidance from the SDoH-X WG includes:</w:t>
            </w:r>
          </w:p>
          <w:p>
            <w:pPr>
              <w:spacing w:before="240" w:after="240"/>
              <w:ind w:left="0" w:right="0"/>
              <w:rPr>
                <w:rFonts w:ascii="Arial" w:hAnsi="Arial"/>
                <w:sz w:val="21"/>
              </w:rPr>
            </w:pPr>
            <w:r>
              <w:rPr>
                <w:rFonts w:ascii="Arial" w:hAnsi="Arial"/>
                <w:sz w:val="21"/>
              </w:rPr>
              <w:t> • Replaced or Updated protocol</w:t>
            </w:r>
          </w:p>
        </w:tc>
      </w:tr>
    </w:tbl>
    <w:p>
      <w:pPr>
        <w:spacing w:before="240" w:after="240"/>
        <w:ind w:firstLine="0" w:left="0" w:right="0"/>
      </w:pPr>
    </w:p>
    <w:sectPr>
      <w:type w:val="nextPage"/>
      <w:pgMar w:left="1700" w:right="850" w:top="1133" w:bottom="1133" w:header="708" w:footer="708" w:gutter="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0"/>
  <w:defaultTabStop w:val="720"/>
  <w:autoHyphenation w:val="0"/>
  <w:evenAndOddHeaders w:val="0"/>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4"/>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2026-09-30T18:38:17Z</dcterms:created>
  <cp:lastModifiedBy>Williams, David</cp:lastModifiedBy>
  <dcterms:modified xsi:type="dcterms:W3CDTF">2026-09-30T18:38:17Z</dcterms:modified>
  <cp:revision>1</cp:revision>
</cp:coreProperties>
</file>