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584"/>
      </w:tblGrid>
      <w:tr w:rsidR="00003211" w:rsidRPr="00CF5B9B" w:rsidTr="006A2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CF5B9B" w:rsidRDefault="00BF4EB2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r w:rsidRPr="00BF4EB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Parkinsons Disease Symptoms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130201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The Charcot-Marie-Tooth Neuropathy Score is a nine-item clinical examination that measures sensory symptoms, motor symptoms, arm and leg strength, and nerve conduction velocities.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934517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This protocol must be administered by a neurologist or physician with relevant training.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1.  Sensory Symptoms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0 [ ] None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1 [ ] Limited to toes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2 [ ] Extend up to and may include ankle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3 [ ] Extend up to and may include knee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4 [ ] Extends above knees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2.  Motor Symptoms: Legs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0 [ ] None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1 [ ] Trips, catches toes, slaps feet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2 [ ] AFO on at least 1 leg or ankle support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3 [ ] Cane, walker, ankle surgery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4 [ ] Wheelchair most of the time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3. Motor Symptoms: Arms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0 [ ] None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1 [ ] Difficulty with buttons/zippers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2 [ ] Unable to do buttons or zippers but can write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3 [ ] Can not write or use keyboard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4 [ ] Proximal arms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4. Pin sensibility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0 [ ] Normal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lastRenderedPageBreak/>
              <w:t xml:space="preserve">   1 [ ] Reduced in fingers/toes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2 [ ] Reduced up to and may include wrist/ankle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3 [ ] Reduced up to and may include elbow/knee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 4 [ ] Reduced above elbow/knee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5. Vibration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Normal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Reduced at fingers/toes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Reduced at wrist/ankle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Reduced at elbow/knee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Reduced above elbow/knee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6. Strength: Legs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Normal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4+, 4, or 4- on foot dorsiflexion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=3 Foot dorsiflexion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=3 Dorsiflexion and plantar flexion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Proximal weakness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7. Strength: Arms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Normal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4+, 4, or 4- on intrinsics or finger extensors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=3 Intrinsics or finger extensors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&lt;5 Wrist extensors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Weak above elbow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8.Ulnar CMAP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&gt; 6 mV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4.0-5.9 mV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2.0-3.9 mV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lastRenderedPageBreak/>
              <w:t xml:space="preserve">  3 [ ] 0.1-1.9 mV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Absent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9. Ulnar CMAP: (Median)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(&gt;4 mV)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(2.8-3.9)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(1.2-2.7)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(0.1-1.1)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(Absent)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10. Ulnar SNAP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&gt; 9 uV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6.0 - 8.9 uV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3.0-5.9 uV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0.1-2.9 uV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Absent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11.   Ulnar SNAP: (Median)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0 [ ] (&gt;22 uV)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1 [ ] (14.0-21.9)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2 [ ] (7.0-13.9)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3 [ ] (0.1-6.9)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  4 [ ] (Absent)</w:t>
            </w:r>
          </w:p>
          <w:p w:rsidR="00D30025" w:rsidRPr="00D30025" w:rsidRDefault="00D30025" w:rsidP="00D30025">
            <w:pPr>
              <w:rPr>
                <w:rFonts w:ascii="Trebuchet MS" w:hAnsi="Trebuchet MS"/>
                <w:sz w:val="21"/>
                <w:szCs w:val="21"/>
              </w:rPr>
            </w:pPr>
          </w:p>
          <w:p w:rsidR="00D30025" w:rsidRPr="00D30025" w:rsidRDefault="00D30025" w:rsidP="00D30025">
            <w:pPr>
              <w:pStyle w:val="NormalWeb"/>
              <w:shd w:val="clear" w:color="auto" w:fill="FFFFFF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t>AFO = ankle-foot orthosis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CMAP = compound muscle action potential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SNAP = sensory nerve action potential</w:t>
            </w:r>
          </w:p>
          <w:p w:rsidR="00003211" w:rsidRPr="00D30025" w:rsidRDefault="00D30025" w:rsidP="00D30025">
            <w:pPr>
              <w:pStyle w:val="NormalWeb"/>
              <w:shd w:val="clear" w:color="auto" w:fill="FFFFFF"/>
              <w:rPr>
                <w:rFonts w:ascii="Trebuchet MS" w:hAnsi="Trebuchet MS"/>
                <w:color w:val="444444"/>
                <w:sz w:val="21"/>
                <w:szCs w:val="21"/>
              </w:rPr>
            </w:pPr>
            <w:r w:rsidRPr="00D30025">
              <w:rPr>
                <w:rStyle w:val="Strong"/>
                <w:rFonts w:ascii="Trebuchet MS" w:hAnsi="Trebuchet MS"/>
                <w:color w:val="444444"/>
                <w:sz w:val="21"/>
                <w:szCs w:val="21"/>
              </w:rPr>
              <w:t>Scoring Instructions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Sum scores on all items. Maximum score is 36.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1-10 mildly affected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11-20 moderately a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t>ffected</w:t>
            </w:r>
            <w:r w:rsidRPr="00D30025">
              <w:rPr>
                <w:rFonts w:ascii="Trebuchet MS" w:hAnsi="Trebuchet MS"/>
                <w:color w:val="444444"/>
                <w:sz w:val="21"/>
                <w:szCs w:val="21"/>
              </w:rPr>
              <w:br/>
              <w:t>21-36 severely affected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The Charcot-Marie-Tooth Neuropathy Score was vetted against similar protocols and chosen because it is a relatively short, validated protocol that focuses more on motor function and weakness over the sensory symptoms that characterize toxic and diabetic neuropathies.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BF4EB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Shy, M., Blake, J., Krajewski, K., Fuerst, D., Laura, M., Hahn, A., Li, J., Lewis, R., &amp; Reilly, M. (2005). Reliability and validity of the CMT Neuropathy Score as a measure of disability. </w:t>
            </w:r>
            <w:r w:rsidRPr="00D30025">
              <w:rPr>
                <w:rFonts w:ascii="Trebuchet MS" w:hAnsi="Trebuchet MS"/>
                <w:i/>
                <w:iCs/>
                <w:sz w:val="21"/>
                <w:szCs w:val="21"/>
              </w:rPr>
              <w:t>Neurology,</w:t>
            </w:r>
            <w:r w:rsidRPr="00D30025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D30025">
              <w:rPr>
                <w:rFonts w:ascii="Trebuchet MS" w:hAnsi="Trebuchet MS"/>
                <w:i/>
                <w:iCs/>
                <w:sz w:val="21"/>
                <w:szCs w:val="21"/>
              </w:rPr>
              <w:t>64</w:t>
            </w:r>
            <w:r w:rsidRPr="00D30025">
              <w:rPr>
                <w:rFonts w:ascii="Trebuchet MS" w:hAnsi="Trebuchet MS"/>
                <w:sz w:val="21"/>
                <w:szCs w:val="21"/>
              </w:rPr>
              <w:t>(7), 1209-1214.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BF4EB2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English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BF4EB2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Adult, aged 18 or older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9C0B3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This Charcot-Marie-Tooth Neuropathy Score protocol must be completed by a trained neurologist or by an experienced peripheral nerve clinician.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Specialized equipment is necessary to assess the peroneal compound muscle action potential (CMAP) and sural sensory nerve action potential (SNAP).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2518"/>
              <w:gridCol w:w="861"/>
              <w:gridCol w:w="1039"/>
            </w:tblGrid>
            <w:tr w:rsidR="00D30025" w:rsidRPr="00D30025" w:rsidTr="00FB141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D30025" w:rsidRPr="00D30025" w:rsidTr="00FB141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Person Clinical Neuropathy Assessment Score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3076102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6" w:history="1">
                    <w:r w:rsidRPr="00D30025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D30025" w:rsidRPr="00D30025" w:rsidTr="00FB141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Clinical neuropathy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D30025">
                    <w:rPr>
                      <w:rFonts w:ascii="Trebuchet MS" w:hAnsi="Trebuchet MS"/>
                      <w:sz w:val="21"/>
                      <w:szCs w:val="21"/>
                    </w:rPr>
                    <w:t>62759-6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30025" w:rsidRPr="00D30025" w:rsidRDefault="00D30025" w:rsidP="00FB141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7" w:history="1">
                    <w:r w:rsidRPr="00D30025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D30025" w:rsidP="00BF4EB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 xml:space="preserve">Murphy, S. M., Herrmann, D. N., McDermott M. P., Scherer, S. S., Shy, M. E., Reilly, M. M., &amp; Pareyson, D. (2011). Reliability of the CMT Neuropathy Score (second version) in Charcot-Marie-Tooth disease. </w:t>
            </w:r>
            <w:r w:rsidRPr="00D30025">
              <w:rPr>
                <w:rFonts w:ascii="Trebuchet MS" w:hAnsi="Trebuchet MS"/>
                <w:i/>
                <w:iCs/>
                <w:sz w:val="21"/>
                <w:szCs w:val="21"/>
              </w:rPr>
              <w:t>Journal of the Peripheral Nervous Syst</w:t>
            </w:r>
            <w:r w:rsidRPr="00D30025">
              <w:rPr>
                <w:rFonts w:ascii="Trebuchet MS" w:hAnsi="Trebuchet MS"/>
                <w:sz w:val="21"/>
                <w:szCs w:val="21"/>
              </w:rPr>
              <w:t>em,</w:t>
            </w:r>
            <w:r w:rsidRPr="00D30025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 16</w:t>
            </w:r>
            <w:r w:rsidRPr="00D30025">
              <w:rPr>
                <w:rFonts w:ascii="Trebuchet MS" w:hAnsi="Trebuchet MS"/>
                <w:sz w:val="21"/>
                <w:szCs w:val="21"/>
              </w:rPr>
              <w:t>(3), 191-198.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BF4EB2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hAnsi="Trebuchet MS"/>
                <w:sz w:val="21"/>
                <w:szCs w:val="21"/>
              </w:rPr>
              <w:t>Physical Examination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003211" w:rsidRPr="00D30025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D30025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7"/>
              <w:gridCol w:w="1011"/>
            </w:tblGrid>
            <w:tr w:rsidR="00003211" w:rsidRPr="00D30025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003211" w:rsidRPr="00D30025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D30025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Yes</w:t>
                  </w:r>
                </w:p>
              </w:tc>
            </w:tr>
            <w:tr w:rsidR="00003211" w:rsidRPr="00D30025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Major equipment</w:t>
                  </w:r>
                </w:p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BF4EB2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Yes</w:t>
                  </w:r>
                </w:p>
              </w:tc>
            </w:tr>
            <w:tr w:rsidR="00003211" w:rsidRPr="00D30025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 xml:space="preserve">This protocol requires that blood, urine, etc. be collected from </w:t>
                  </w:r>
                  <w:r w:rsidRPr="00D30025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lastRenderedPageBreak/>
                    <w:t>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lastRenderedPageBreak/>
                    <w:t>No</w:t>
                  </w:r>
                </w:p>
              </w:tc>
            </w:tr>
            <w:tr w:rsidR="00003211" w:rsidRPr="00D30025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lastRenderedPageBreak/>
                    <w:t>Specialized training</w:t>
                  </w:r>
                </w:p>
                <w:p w:rsidR="00003211" w:rsidRPr="00D30025" w:rsidRDefault="00003211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003211" w:rsidRPr="00D30025" w:rsidRDefault="00D30025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D30025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003211" w:rsidRPr="00D30025" w:rsidRDefault="00003211" w:rsidP="006A24D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8C7A7B" w:rsidRPr="00D30025" w:rsidRDefault="00003211" w:rsidP="00003211">
      <w:pPr>
        <w:rPr>
          <w:rFonts w:ascii="Trebuchet MS" w:hAnsi="Trebuchet MS"/>
          <w:sz w:val="21"/>
          <w:szCs w:val="21"/>
        </w:rPr>
      </w:pPr>
      <w:r w:rsidRPr="00D30025">
        <w:rPr>
          <w:rFonts w:ascii="Trebuchet MS" w:eastAsia="Times New Roman" w:hAnsi="Trebuchet MS" w:cs="Times New Roman"/>
          <w:color w:val="000000"/>
          <w:sz w:val="21"/>
          <w:szCs w:val="21"/>
        </w:rPr>
        <w:lastRenderedPageBreak/>
        <w:br/>
      </w:r>
      <w:bookmarkEnd w:id="0"/>
    </w:p>
    <w:sectPr w:rsidR="008C7A7B" w:rsidRPr="00D30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43CB0"/>
    <w:multiLevelType w:val="hybridMultilevel"/>
    <w:tmpl w:val="A100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9B"/>
    <w:rsid w:val="00003211"/>
    <w:rsid w:val="00005125"/>
    <w:rsid w:val="000603AE"/>
    <w:rsid w:val="00065B27"/>
    <w:rsid w:val="00085121"/>
    <w:rsid w:val="00145A49"/>
    <w:rsid w:val="001975C8"/>
    <w:rsid w:val="001C3760"/>
    <w:rsid w:val="003245FA"/>
    <w:rsid w:val="003316D3"/>
    <w:rsid w:val="00355948"/>
    <w:rsid w:val="003F4CED"/>
    <w:rsid w:val="004B454D"/>
    <w:rsid w:val="005C088D"/>
    <w:rsid w:val="006B7779"/>
    <w:rsid w:val="00820289"/>
    <w:rsid w:val="008C7A7B"/>
    <w:rsid w:val="00934517"/>
    <w:rsid w:val="009C0B3F"/>
    <w:rsid w:val="00AA01A2"/>
    <w:rsid w:val="00AC5F7C"/>
    <w:rsid w:val="00BF4EB2"/>
    <w:rsid w:val="00C537E3"/>
    <w:rsid w:val="00CB578E"/>
    <w:rsid w:val="00CC1BB8"/>
    <w:rsid w:val="00CF5B9B"/>
    <w:rsid w:val="00D30025"/>
    <w:rsid w:val="00E47F26"/>
    <w:rsid w:val="00E821E6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BalloonText">
    <w:name w:val="Balloon Text"/>
    <w:basedOn w:val="Normal"/>
    <w:link w:val="BalloonTextChar"/>
    <w:unhideWhenUsed/>
    <w:rsid w:val="009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B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9C0B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0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C0B3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C0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0B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C0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0B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1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3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4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80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2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19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4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3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20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5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3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180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3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14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9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0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9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2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4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9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0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8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22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1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3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8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1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2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1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8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2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5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14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79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0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37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7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8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8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48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19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5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9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553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3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8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48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5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12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29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66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7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2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5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12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1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1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88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36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1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1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76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91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7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0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89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55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0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8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8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3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2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194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41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9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8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8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4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4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9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31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68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3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5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7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5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40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9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6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8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3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5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76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9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37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63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6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2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38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7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99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70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9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34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99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7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8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6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9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7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98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61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52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6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7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7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5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1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7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606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2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2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9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0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3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81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89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4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4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287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9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6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9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35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0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32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8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8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4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5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2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36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73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1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3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86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427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76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59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3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8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4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8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35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3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21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7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0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62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62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7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6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2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445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3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86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80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6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36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4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72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970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4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4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262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31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59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78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8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4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57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6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9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8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5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136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6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5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8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12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945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04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1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41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9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24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36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32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40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34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8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78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60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91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90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07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605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228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60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564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7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6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50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11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93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91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35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2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7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71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29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2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80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8105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48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04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49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1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6749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083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03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094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781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427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532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236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95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69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1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8443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038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67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15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210">
              <w:marLeft w:val="120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.details.loinc.org/LOINC/62759-6.html?sections=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ebrowser.nci.nih.gov/CDEBrowser/search?elementDetails=9&amp;FirstTimer=0&amp;PageId=ElementDetailsGroup&amp;publicId=3076102&amp;version=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Hwang, Stephen</cp:lastModifiedBy>
  <cp:revision>7</cp:revision>
  <dcterms:created xsi:type="dcterms:W3CDTF">2015-09-15T16:30:00Z</dcterms:created>
  <dcterms:modified xsi:type="dcterms:W3CDTF">2017-11-28T18:12:00Z</dcterms:modified>
</cp:coreProperties>
</file>