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0"/>
        <w:gridCol w:w="8030"/>
      </w:tblGrid>
      <w:tr w:rsidR="00086B57" w:rsidRPr="001E2D63">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7"/>
                <w:szCs w:val="27"/>
              </w:rPr>
            </w:pPr>
            <w:r w:rsidRPr="001E2D63">
              <w:rPr>
                <w:rStyle w:val="Strong"/>
                <w:rFonts w:ascii="Trebuchet MS" w:hAnsi="Trebuchet MS"/>
                <w:sz w:val="27"/>
                <w:szCs w:val="27"/>
              </w:rPr>
              <w:t>Parkinsonism Symptoms</w:t>
            </w:r>
          </w:p>
        </w:tc>
      </w:tr>
      <w:tr w:rsidR="00086B57" w:rsidRPr="001E2D63">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Protocol Id:</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Fonts w:ascii="Trebuchet MS" w:hAnsi="Trebuchet MS"/>
                <w:sz w:val="21"/>
                <w:szCs w:val="21"/>
              </w:rPr>
              <w:t>130101</w:t>
            </w:r>
          </w:p>
        </w:tc>
      </w:tr>
      <w:tr w:rsidR="00086B57" w:rsidRPr="001E2D63">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Description of 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pStyle w:val="NormalWeb"/>
              <w:rPr>
                <w:rFonts w:ascii="Trebuchet MS" w:hAnsi="Trebuchet MS"/>
                <w:sz w:val="21"/>
                <w:szCs w:val="21"/>
              </w:rPr>
            </w:pPr>
            <w:r w:rsidRPr="001E2D63">
              <w:rPr>
                <w:rFonts w:ascii="Trebuchet MS" w:hAnsi="Trebuchet MS"/>
                <w:sz w:val="21"/>
                <w:szCs w:val="21"/>
              </w:rPr>
              <w:t>The Motor Exam portion of the United Parkinson's Disease Rating Scale is a 27 item examiner-administered test that measures the severity of symptoms in resting tremor, resistance to movement and abnormal gait and posture.</w:t>
            </w:r>
          </w:p>
        </w:tc>
      </w:tr>
      <w:tr w:rsidR="00086B57" w:rsidRPr="001E2D63">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pStyle w:val="NormalWeb"/>
              <w:rPr>
                <w:rFonts w:ascii="Trebuchet MS" w:hAnsi="Trebuchet MS"/>
                <w:sz w:val="21"/>
                <w:szCs w:val="21"/>
              </w:rPr>
            </w:pPr>
            <w:r w:rsidRPr="001E2D63">
              <w:rPr>
                <w:rFonts w:ascii="Trebuchet MS" w:hAnsi="Trebuchet MS"/>
                <w:sz w:val="21"/>
                <w:szCs w:val="21"/>
              </w:rPr>
              <w:t>None</w:t>
            </w:r>
          </w:p>
        </w:tc>
      </w:tr>
      <w:tr w:rsidR="00086B57" w:rsidRPr="001E2D63">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EA2C5D" w:rsidRPr="001E2D63" w:rsidRDefault="00EA2C5D" w:rsidP="00EA2C5D">
            <w:pPr>
              <w:pStyle w:val="NormalWeb"/>
              <w:rPr>
                <w:rStyle w:val="Strong"/>
                <w:rFonts w:ascii="Trebuchet MS" w:hAnsi="Trebuchet MS" w:cs="Arial"/>
                <w:sz w:val="21"/>
                <w:szCs w:val="21"/>
              </w:rPr>
            </w:pPr>
            <w:r w:rsidRPr="001E2D63">
              <w:rPr>
                <w:rStyle w:val="Strong"/>
                <w:rFonts w:ascii="Trebuchet MS" w:hAnsi="Trebuchet MS" w:cs="Arial"/>
                <w:sz w:val="21"/>
                <w:szCs w:val="21"/>
              </w:rPr>
              <w:t xml:space="preserve">Summary of the Movement Disorders Society United Parkinson's Disease Rating Scale (MDS-UPDRS) </w:t>
            </w:r>
          </w:p>
          <w:p w:rsidR="00EA2C5D" w:rsidRPr="001E2D63" w:rsidRDefault="00EA2C5D" w:rsidP="00EA2C5D">
            <w:pPr>
              <w:pStyle w:val="NormalWeb"/>
              <w:rPr>
                <w:rFonts w:ascii="Trebuchet MS" w:hAnsi="Trebuchet MS" w:cs="Arial"/>
                <w:sz w:val="21"/>
                <w:szCs w:val="21"/>
              </w:rPr>
            </w:pPr>
            <w:r w:rsidRPr="001E2D63">
              <w:rPr>
                <w:rFonts w:ascii="Trebuchet MS" w:hAnsi="Trebuchet MS" w:cs="Arial"/>
                <w:sz w:val="21"/>
                <w:szCs w:val="21"/>
              </w:rPr>
              <w:t xml:space="preserve">The Movement Disorder Society United Parkinson's Disease Rating Scale (MDS-UPDRS) is an examiner-administered test that includes four subscales: non-motor experiences of daily living (13 items), motor experiences of daily living (13 items), motor examination (33 scores based on 18 items, several with right, left or other body distribution scores),and motor complications (6 items). Each item is scored on a five point scale: 0 = normal; 1 = slight; 2 = mild; 3 = moderate; and 4 = severe. All items are summed together to give a total score, with higher scores indicating greater disability.  </w:t>
            </w:r>
          </w:p>
          <w:p w:rsidR="00EA2C5D" w:rsidRPr="001E2D63" w:rsidRDefault="00EA2C5D" w:rsidP="00EA2C5D">
            <w:pPr>
              <w:rPr>
                <w:rFonts w:ascii="Trebuchet MS" w:hAnsi="Trebuchet MS" w:cs="Arial"/>
                <w:sz w:val="21"/>
                <w:szCs w:val="21"/>
              </w:rPr>
            </w:pPr>
            <w:r w:rsidRPr="001E2D63">
              <w:rPr>
                <w:rFonts w:ascii="Trebuchet MS" w:hAnsi="Trebuchet MS" w:cs="Arial"/>
                <w:sz w:val="21"/>
                <w:szCs w:val="21"/>
              </w:rPr>
              <w:t xml:space="preserve">The Movement Disorder Society United Parkinson's Disease Rating Scale (MDS-UPDRS) is a proprietary instrument and administration (with the exception of personal use) requires a license from the </w:t>
            </w:r>
            <w:hyperlink r:id="rId5" w:history="1">
              <w:r w:rsidRPr="001E2D63">
                <w:rPr>
                  <w:rStyle w:val="Hyperlink"/>
                  <w:rFonts w:ascii="Trebuchet MS" w:hAnsi="Trebuchet MS" w:cs="Arial"/>
                  <w:sz w:val="21"/>
                  <w:szCs w:val="21"/>
                </w:rPr>
                <w:t>International Parkinson Movement Disorder Society</w:t>
              </w:r>
            </w:hyperlink>
            <w:r w:rsidRPr="001E2D63">
              <w:rPr>
                <w:rFonts w:ascii="Trebuchet MS" w:hAnsi="Trebuchet MS" w:cs="Arial"/>
                <w:sz w:val="21"/>
                <w:szCs w:val="21"/>
              </w:rPr>
              <w:t>.</w:t>
            </w:r>
          </w:p>
          <w:p w:rsidR="00EA2C5D" w:rsidRPr="001E2D63" w:rsidRDefault="00EA2C5D" w:rsidP="00EA2C5D">
            <w:pPr>
              <w:rPr>
                <w:rFonts w:ascii="Trebuchet MS" w:hAnsi="Trebuchet MS" w:cs="Arial"/>
                <w:sz w:val="21"/>
                <w:szCs w:val="21"/>
              </w:rPr>
            </w:pPr>
          </w:p>
          <w:p w:rsidR="00EA2C5D" w:rsidRPr="001E2D63" w:rsidRDefault="00EA2C5D" w:rsidP="00EA2C5D">
            <w:pPr>
              <w:pStyle w:val="NormalWeb"/>
              <w:rPr>
                <w:rFonts w:ascii="Trebuchet MS" w:hAnsi="Trebuchet MS" w:cs="Arial"/>
                <w:sz w:val="21"/>
                <w:szCs w:val="21"/>
              </w:rPr>
            </w:pPr>
            <w:r w:rsidRPr="001E2D63">
              <w:rPr>
                <w:rFonts w:ascii="Trebuchet MS" w:hAnsi="Trebuchet MS" w:cs="Arial"/>
                <w:sz w:val="21"/>
                <w:szCs w:val="21"/>
              </w:rPr>
              <w:t>Goetz, C. G., Tilley, B .C., Shaftman, S. R., Stebbins, G. T., Fahn, S., Martinez-Martin, P., Poewe, W., Sampaio, C., Stern, M. B., Dodel, R., Dubois, B., Holloway, R., Jankovic, J., Kulisevsky, J., Lang, A. E., Lees, A., Leurgans, S., LeWitt, P. A., Nyenhuis, D., Olanow, C. W., Rascol, O., Schrag, A., Teresi, J. A., van Hilten, J. J., &amp; LaPelle, N.; Movement Disorder Society UPDRS Revision Task Force. (2008). Movement Disorder Society-sponsored revision of the Unified Parkinson's Disease Rating Scale (MDS-UPDRS): Scale presentation and clinimetric testing results.</w:t>
            </w:r>
            <w:r w:rsidRPr="001E2D63">
              <w:rPr>
                <w:rFonts w:ascii="Trebuchet MS" w:hAnsi="Trebuchet MS" w:cs="Arial"/>
                <w:i/>
                <w:sz w:val="21"/>
                <w:szCs w:val="21"/>
              </w:rPr>
              <w:t xml:space="preserve"> Movement Disorders, 23</w:t>
            </w:r>
            <w:r w:rsidRPr="001E2D63">
              <w:rPr>
                <w:rFonts w:ascii="Trebuchet MS" w:hAnsi="Trebuchet MS" w:cs="Arial"/>
                <w:sz w:val="21"/>
                <w:szCs w:val="21"/>
              </w:rPr>
              <w:t>(15), 2129–2170.</w:t>
            </w:r>
          </w:p>
          <w:p w:rsidR="00EA2C5D" w:rsidRPr="001E2D63" w:rsidRDefault="00EA2C5D" w:rsidP="00EA2C5D">
            <w:pPr>
              <w:rPr>
                <w:rFonts w:ascii="Trebuchet MS" w:hAnsi="Trebuchet MS" w:cs="Arial"/>
                <w:sz w:val="21"/>
                <w:szCs w:val="21"/>
              </w:rPr>
            </w:pPr>
            <w:r w:rsidRPr="001E2D63">
              <w:rPr>
                <w:rFonts w:ascii="Trebuchet MS" w:hAnsi="Trebuchet MS" w:cs="Arial"/>
                <w:sz w:val="21"/>
                <w:szCs w:val="21"/>
              </w:rPr>
              <w:t xml:space="preserve">The Movement Disorder Society United Parkinson's Disease Rating Scale (MDS-UPDRS) is a proprietary instrument and administration (with the exception of personal use) requires a license from the </w:t>
            </w:r>
            <w:hyperlink r:id="rId6" w:history="1">
              <w:r w:rsidRPr="001E2D63">
                <w:rPr>
                  <w:rStyle w:val="Hyperlink"/>
                  <w:rFonts w:ascii="Trebuchet MS" w:hAnsi="Trebuchet MS" w:cs="Arial"/>
                  <w:sz w:val="21"/>
                  <w:szCs w:val="21"/>
                </w:rPr>
                <w:t>International Parkinson Movement Disorder Society</w:t>
              </w:r>
            </w:hyperlink>
            <w:r w:rsidRPr="001E2D63">
              <w:rPr>
                <w:rFonts w:ascii="Trebuchet MS" w:hAnsi="Trebuchet MS" w:cs="Arial"/>
                <w:sz w:val="21"/>
                <w:szCs w:val="21"/>
              </w:rPr>
              <w:t>.</w:t>
            </w:r>
          </w:p>
          <w:p w:rsidR="00EA2C5D" w:rsidRPr="001E2D63" w:rsidRDefault="00EA2C5D" w:rsidP="00EA2C5D">
            <w:pPr>
              <w:rPr>
                <w:rFonts w:ascii="Trebuchet MS" w:hAnsi="Trebuchet MS" w:cs="Arial"/>
                <w:sz w:val="21"/>
                <w:szCs w:val="21"/>
              </w:rPr>
            </w:pPr>
          </w:p>
          <w:p w:rsidR="00EA2C5D" w:rsidRPr="001E2D63" w:rsidRDefault="00EA2C5D" w:rsidP="00EA2C5D">
            <w:pPr>
              <w:rPr>
                <w:rFonts w:ascii="Trebuchet MS" w:hAnsi="Trebuchet MS"/>
                <w:sz w:val="21"/>
                <w:szCs w:val="21"/>
              </w:rPr>
            </w:pPr>
            <w:r w:rsidRPr="001E2D63">
              <w:rPr>
                <w:rFonts w:ascii="Trebuchet MS" w:hAnsi="Trebuchet MS"/>
                <w:sz w:val="21"/>
                <w:szCs w:val="21"/>
              </w:rPr>
              <w:t>Protocol source: https://www.phenxtoolkit.org/index.php?pageLink=browse.protocoldetails&amp;id=130101</w:t>
            </w:r>
          </w:p>
          <w:p w:rsidR="00086B57" w:rsidRPr="001E2D63" w:rsidRDefault="00086B57">
            <w:pPr>
              <w:rPr>
                <w:rFonts w:ascii="Trebuchet MS" w:hAnsi="Trebuchet MS"/>
                <w:sz w:val="21"/>
                <w:szCs w:val="21"/>
              </w:rPr>
            </w:pPr>
          </w:p>
        </w:tc>
      </w:tr>
      <w:tr w:rsidR="00086B57" w:rsidRPr="001E2D63">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pStyle w:val="NormalWeb"/>
              <w:rPr>
                <w:rFonts w:ascii="Trebuchet MS" w:hAnsi="Trebuchet MS"/>
                <w:sz w:val="21"/>
                <w:szCs w:val="21"/>
              </w:rPr>
            </w:pPr>
            <w:r w:rsidRPr="001E2D63">
              <w:rPr>
                <w:rFonts w:ascii="Trebuchet MS" w:hAnsi="Trebuchet MS"/>
                <w:sz w:val="21"/>
                <w:szCs w:val="21"/>
              </w:rPr>
              <w:t>The United Parkinson's Disease Rating Scale was selected because it is the standard, validated protocol that is the most-widely used method to follow the progression of Parkinson's Disease over time.</w:t>
            </w:r>
          </w:p>
        </w:tc>
      </w:tr>
      <w:tr w:rsidR="00086B57" w:rsidRPr="001E2D63">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pStyle w:val="NormalWeb"/>
              <w:rPr>
                <w:rFonts w:ascii="Trebuchet MS" w:hAnsi="Trebuchet MS"/>
                <w:sz w:val="21"/>
                <w:szCs w:val="21"/>
              </w:rPr>
            </w:pPr>
            <w:r w:rsidRPr="001E2D63">
              <w:rPr>
                <w:rFonts w:ascii="Trebuchet MS" w:hAnsi="Trebuchet MS"/>
                <w:sz w:val="21"/>
                <w:szCs w:val="21"/>
              </w:rPr>
              <w:t xml:space="preserve">Fahn S, Elton RL, UPDRS program members. Unified Parkinsons Disease Rating Scale. In: Fahn S, Marsden CD, Goldstein M, Calne DB, editors. Recent developments in Parkinson's disease, vol 2. Florham Park; NJ: Macmillan Healthcare Information: 1987. </w:t>
            </w:r>
            <w:proofErr w:type="gramStart"/>
            <w:r w:rsidRPr="001E2D63">
              <w:rPr>
                <w:rFonts w:ascii="Trebuchet MS" w:hAnsi="Trebuchet MS"/>
                <w:sz w:val="21"/>
                <w:szCs w:val="21"/>
              </w:rPr>
              <w:t>p</w:t>
            </w:r>
            <w:proofErr w:type="gramEnd"/>
            <w:r w:rsidRPr="001E2D63">
              <w:rPr>
                <w:rFonts w:ascii="Trebuchet MS" w:hAnsi="Trebuchet MS"/>
                <w:sz w:val="21"/>
                <w:szCs w:val="21"/>
              </w:rPr>
              <w:t xml:space="preserve"> 153-163.</w:t>
            </w:r>
          </w:p>
        </w:tc>
      </w:tr>
      <w:tr w:rsidR="00086B57" w:rsidRPr="001E2D63">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Language</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pStyle w:val="NormalWeb"/>
              <w:rPr>
                <w:rFonts w:ascii="Trebuchet MS" w:hAnsi="Trebuchet MS"/>
                <w:sz w:val="21"/>
                <w:szCs w:val="21"/>
              </w:rPr>
            </w:pPr>
            <w:r w:rsidRPr="001E2D63">
              <w:rPr>
                <w:rFonts w:ascii="Trebuchet MS" w:hAnsi="Trebuchet MS"/>
                <w:sz w:val="21"/>
                <w:szCs w:val="21"/>
              </w:rPr>
              <w:t>English</w:t>
            </w:r>
          </w:p>
        </w:tc>
      </w:tr>
      <w:tr w:rsidR="00086B57" w:rsidRPr="001E2D63">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pStyle w:val="NormalWeb"/>
              <w:rPr>
                <w:rFonts w:ascii="Trebuchet MS" w:hAnsi="Trebuchet MS"/>
                <w:sz w:val="21"/>
                <w:szCs w:val="21"/>
              </w:rPr>
            </w:pPr>
            <w:r w:rsidRPr="001E2D63">
              <w:rPr>
                <w:rFonts w:ascii="Trebuchet MS" w:hAnsi="Trebuchet MS"/>
                <w:sz w:val="21"/>
                <w:szCs w:val="21"/>
              </w:rPr>
              <w:t>Adult, aged 18 or older</w:t>
            </w:r>
          </w:p>
        </w:tc>
      </w:tr>
      <w:tr w:rsidR="00086B57" w:rsidRPr="001E2D63">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 xml:space="preserve">Personnel and Training </w:t>
            </w:r>
            <w:r w:rsidRPr="001E2D63">
              <w:rPr>
                <w:rStyle w:val="Strong"/>
                <w:rFonts w:ascii="Trebuchet MS" w:hAnsi="Trebuchet MS"/>
                <w:sz w:val="21"/>
                <w:szCs w:val="21"/>
              </w:rPr>
              <w:lastRenderedPageBreak/>
              <w:t>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pStyle w:val="NormalWeb"/>
              <w:rPr>
                <w:rFonts w:ascii="Trebuchet MS" w:hAnsi="Trebuchet MS"/>
                <w:sz w:val="21"/>
                <w:szCs w:val="21"/>
              </w:rPr>
            </w:pPr>
            <w:r w:rsidRPr="001E2D63">
              <w:rPr>
                <w:rFonts w:ascii="Trebuchet MS" w:hAnsi="Trebuchet MS"/>
                <w:sz w:val="21"/>
                <w:szCs w:val="21"/>
              </w:rPr>
              <w:lastRenderedPageBreak/>
              <w:t xml:space="preserve">The interviewer must be trained to and found competent to conduct motor examinations, as well as be competent to recognize the impact of co-morbidities </w:t>
            </w:r>
            <w:r w:rsidRPr="001E2D63">
              <w:rPr>
                <w:rFonts w:ascii="Trebuchet MS" w:hAnsi="Trebuchet MS"/>
                <w:sz w:val="21"/>
                <w:szCs w:val="21"/>
              </w:rPr>
              <w:lastRenderedPageBreak/>
              <w:t>(such as stroke, arthritis, etc.) on motor movements. Additionally the interviewer must be trained and found competent in the recognition of motor movements and ratings listed in this protocol, such as the signs and degree of tremor and rigidity and the presence of bradykinesia/hypokinesia</w:t>
            </w:r>
          </w:p>
        </w:tc>
      </w:tr>
      <w:tr w:rsidR="00086B57" w:rsidRPr="001E2D63">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lastRenderedPageBreak/>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pStyle w:val="NormalWeb"/>
              <w:rPr>
                <w:rFonts w:ascii="Trebuchet MS" w:hAnsi="Trebuchet MS"/>
                <w:sz w:val="21"/>
                <w:szCs w:val="21"/>
              </w:rPr>
            </w:pPr>
            <w:r w:rsidRPr="001E2D63">
              <w:rPr>
                <w:rFonts w:ascii="Trebuchet MS" w:hAnsi="Trebuchet MS"/>
                <w:sz w:val="21"/>
                <w:szCs w:val="21"/>
              </w:rPr>
              <w:t>None</w:t>
            </w:r>
          </w:p>
        </w:tc>
      </w:tr>
      <w:tr w:rsidR="00086B57" w:rsidRPr="001E2D63">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11"/>
              <w:gridCol w:w="2745"/>
              <w:gridCol w:w="861"/>
              <w:gridCol w:w="1067"/>
            </w:tblGrid>
            <w:tr w:rsidR="00086B57" w:rsidRPr="001E2D6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Source</w:t>
                  </w:r>
                </w:p>
              </w:tc>
            </w:tr>
            <w:tr w:rsidR="00086B57" w:rsidRPr="001E2D6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Fonts w:ascii="Trebuchet MS" w:hAnsi="Trebuchet MS"/>
                      <w:sz w:val="21"/>
                      <w:szCs w:val="21"/>
                    </w:rPr>
                    <w:t>Person Parkinson's Disease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Fonts w:ascii="Trebuchet MS" w:hAnsi="Trebuchet MS"/>
                      <w:sz w:val="21"/>
                      <w:szCs w:val="21"/>
                    </w:rPr>
                    <w:t>3076084</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hyperlink r:id="rId7" w:history="1">
                    <w:r w:rsidRPr="001E2D63">
                      <w:rPr>
                        <w:rStyle w:val="Hyperlink"/>
                        <w:rFonts w:ascii="Trebuchet MS" w:hAnsi="Trebuchet MS"/>
                        <w:sz w:val="21"/>
                        <w:szCs w:val="21"/>
                      </w:rPr>
                      <w:t>CDE Browser</w:t>
                    </w:r>
                  </w:hyperlink>
                </w:p>
              </w:tc>
            </w:tr>
            <w:tr w:rsidR="00086B57" w:rsidRPr="001E2D6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Fonts w:ascii="Trebuchet MS" w:hAnsi="Trebuchet MS"/>
                      <w:sz w:val="21"/>
                      <w:szCs w:val="21"/>
                    </w:rPr>
                    <w:t>Parkinsonian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Fonts w:ascii="Trebuchet MS" w:hAnsi="Trebuchet MS"/>
                      <w:sz w:val="21"/>
                      <w:szCs w:val="21"/>
                    </w:rPr>
                    <w:t>62757-0</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hyperlink r:id="rId8" w:history="1">
                    <w:r w:rsidRPr="001E2D63">
                      <w:rPr>
                        <w:rStyle w:val="Hyperlink"/>
                        <w:rFonts w:ascii="Trebuchet MS" w:hAnsi="Trebuchet MS"/>
                        <w:sz w:val="21"/>
                        <w:szCs w:val="21"/>
                      </w:rPr>
                      <w:t>LOINC</w:t>
                    </w:r>
                  </w:hyperlink>
                </w:p>
              </w:tc>
            </w:tr>
          </w:tbl>
          <w:p w:rsidR="00086B57" w:rsidRPr="001E2D63" w:rsidRDefault="00086B57">
            <w:pPr>
              <w:rPr>
                <w:rFonts w:ascii="Trebuchet MS" w:hAnsi="Trebuchet MS"/>
                <w:sz w:val="21"/>
                <w:szCs w:val="21"/>
              </w:rPr>
            </w:pPr>
          </w:p>
        </w:tc>
      </w:tr>
      <w:tr w:rsidR="00086B57" w:rsidRPr="001E2D63">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pStyle w:val="NormalWeb"/>
              <w:rPr>
                <w:rFonts w:ascii="Trebuchet MS" w:hAnsi="Trebuchet MS"/>
                <w:sz w:val="21"/>
                <w:szCs w:val="21"/>
              </w:rPr>
            </w:pPr>
            <w:r w:rsidRPr="001E2D63">
              <w:rPr>
                <w:rFonts w:ascii="Trebuchet MS" w:hAnsi="Trebuchet MS"/>
                <w:sz w:val="21"/>
                <w:szCs w:val="21"/>
              </w:rPr>
              <w:t xml:space="preserve">Aminoff MJ, Greenberg DA, &amp; Simon RP (2005). </w:t>
            </w:r>
            <w:r w:rsidRPr="001E2D63">
              <w:rPr>
                <w:rFonts w:ascii="Trebuchet MS" w:hAnsi="Trebuchet MS"/>
                <w:i/>
                <w:iCs/>
                <w:sz w:val="21"/>
                <w:szCs w:val="21"/>
              </w:rPr>
              <w:t>Clinical Neurology</w:t>
            </w:r>
            <w:r w:rsidRPr="001E2D63">
              <w:rPr>
                <w:rFonts w:ascii="Trebuchet MS" w:hAnsi="Trebuchet MS"/>
                <w:sz w:val="21"/>
                <w:szCs w:val="21"/>
              </w:rPr>
              <w:t xml:space="preserve"> (6th ed.). Lange: McGraw-Hill Medical. pp. 241–5.</w:t>
            </w:r>
          </w:p>
        </w:tc>
      </w:tr>
      <w:tr w:rsidR="00086B57" w:rsidRPr="001E2D63">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Protocol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Fonts w:ascii="Trebuchet MS" w:hAnsi="Trebuchet MS"/>
                <w:sz w:val="21"/>
                <w:szCs w:val="21"/>
              </w:rPr>
              <w:t>Physical Examination</w:t>
            </w:r>
          </w:p>
        </w:tc>
      </w:tr>
      <w:tr w:rsidR="00086B57" w:rsidRPr="001E2D63">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pStyle w:val="NormalWeb"/>
              <w:rPr>
                <w:rFonts w:ascii="Trebuchet MS" w:hAnsi="Trebuchet MS"/>
                <w:sz w:val="21"/>
                <w:szCs w:val="21"/>
              </w:rPr>
            </w:pPr>
            <w:r w:rsidRPr="001E2D63">
              <w:rPr>
                <w:rFonts w:ascii="Trebuchet MS" w:hAnsi="Trebuchet MS"/>
                <w:sz w:val="21"/>
                <w:szCs w:val="21"/>
              </w:rPr>
              <w:t>None</w:t>
            </w:r>
          </w:p>
        </w:tc>
      </w:tr>
      <w:tr w:rsidR="00086B57" w:rsidRPr="001E2D63">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88"/>
              <w:gridCol w:w="996"/>
            </w:tblGrid>
            <w:tr w:rsidR="00086B57" w:rsidRPr="001E2D6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Required</w:t>
                  </w:r>
                </w:p>
              </w:tc>
            </w:tr>
            <w:tr w:rsidR="00086B57" w:rsidRPr="001E2D6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pStyle w:val="NormalWeb"/>
                    <w:rPr>
                      <w:rFonts w:ascii="Trebuchet MS" w:hAnsi="Trebuchet MS"/>
                      <w:sz w:val="21"/>
                      <w:szCs w:val="21"/>
                    </w:rPr>
                  </w:pPr>
                  <w:r w:rsidRPr="001E2D63">
                    <w:rPr>
                      <w:rFonts w:ascii="Trebuchet MS" w:hAnsi="Trebuchet MS"/>
                      <w:sz w:val="21"/>
                      <w:szCs w:val="21"/>
                    </w:rPr>
                    <w:t>Major equipment</w:t>
                  </w:r>
                </w:p>
                <w:p w:rsidR="00086B57" w:rsidRPr="001E2D63" w:rsidRDefault="00086B57">
                  <w:pPr>
                    <w:pStyle w:val="NormalWeb"/>
                    <w:rPr>
                      <w:rFonts w:ascii="Trebuchet MS" w:hAnsi="Trebuchet MS"/>
                      <w:color w:val="A6A6A6" w:themeColor="background1" w:themeShade="A6"/>
                      <w:sz w:val="21"/>
                      <w:szCs w:val="21"/>
                    </w:rPr>
                  </w:pPr>
                  <w:r w:rsidRPr="001E2D63">
                    <w:rPr>
                      <w:rFonts w:ascii="Trebuchet MS" w:hAnsi="Trebuchet MS"/>
                      <w:color w:val="A6A6A6" w:themeColor="background1" w:themeShade="A6"/>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Fonts w:ascii="Trebuchet MS" w:hAnsi="Trebuchet MS"/>
                      <w:sz w:val="21"/>
                      <w:szCs w:val="21"/>
                    </w:rPr>
                    <w:t>No</w:t>
                  </w:r>
                </w:p>
              </w:tc>
            </w:tr>
            <w:tr w:rsidR="00086B57" w:rsidRPr="001E2D6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6B57" w:rsidRDefault="00086B57">
                  <w:pPr>
                    <w:pStyle w:val="NormalWeb"/>
                    <w:rPr>
                      <w:rFonts w:ascii="Trebuchet MS" w:hAnsi="Trebuchet MS"/>
                      <w:sz w:val="21"/>
                      <w:szCs w:val="21"/>
                    </w:rPr>
                  </w:pPr>
                  <w:r w:rsidRPr="001E2D63">
                    <w:rPr>
                      <w:rFonts w:ascii="Trebuchet MS" w:hAnsi="Trebuchet MS"/>
                      <w:sz w:val="21"/>
                      <w:szCs w:val="21"/>
                    </w:rPr>
                    <w:t>Specialized training</w:t>
                  </w:r>
                </w:p>
                <w:p w:rsidR="001E2D63" w:rsidRPr="001E2D63" w:rsidRDefault="001E2D63">
                  <w:pPr>
                    <w:pStyle w:val="NormalWeb"/>
                    <w:rPr>
                      <w:rFonts w:ascii="Trebuchet MS" w:hAnsi="Trebuchet MS"/>
                      <w:sz w:val="21"/>
                      <w:szCs w:val="21"/>
                    </w:rPr>
                  </w:pPr>
                  <w:r>
                    <w:rPr>
                      <w:rFonts w:ascii="Trebuchet MS" w:hAnsi="Trebuchet MS"/>
                      <w:color w:val="888888"/>
                      <w:sz w:val="21"/>
                      <w:szCs w:val="21"/>
                    </w:rPr>
                    <w:t>This measure requires staff training in the protocol methodology and/or in the conduct of the data analysis.</w:t>
                  </w:r>
                  <w:bookmarkStart w:id="0" w:name="_GoBack"/>
                  <w:bookmarkEnd w:id="0"/>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Fonts w:ascii="Trebuchet MS" w:hAnsi="Trebuchet MS"/>
                      <w:sz w:val="21"/>
                      <w:szCs w:val="21"/>
                    </w:rPr>
                    <w:t>No</w:t>
                  </w:r>
                </w:p>
              </w:tc>
            </w:tr>
            <w:tr w:rsidR="00086B57" w:rsidRPr="001E2D6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pStyle w:val="NormalWeb"/>
                    <w:rPr>
                      <w:rFonts w:ascii="Trebuchet MS" w:hAnsi="Trebuchet MS"/>
                      <w:sz w:val="21"/>
                      <w:szCs w:val="21"/>
                    </w:rPr>
                  </w:pPr>
                  <w:r w:rsidRPr="001E2D63">
                    <w:rPr>
                      <w:rFonts w:ascii="Trebuchet MS" w:hAnsi="Trebuchet MS"/>
                      <w:sz w:val="21"/>
                      <w:szCs w:val="21"/>
                    </w:rPr>
                    <w:t>Specialized requirements for biospecimen collection</w:t>
                  </w:r>
                </w:p>
                <w:p w:rsidR="00086B57" w:rsidRPr="001E2D63" w:rsidRDefault="00086B57">
                  <w:pPr>
                    <w:pStyle w:val="NormalWeb"/>
                    <w:rPr>
                      <w:rFonts w:ascii="Trebuchet MS" w:hAnsi="Trebuchet MS"/>
                      <w:color w:val="A6A6A6" w:themeColor="background1" w:themeShade="A6"/>
                      <w:sz w:val="21"/>
                      <w:szCs w:val="21"/>
                    </w:rPr>
                  </w:pPr>
                  <w:r w:rsidRPr="001E2D63">
                    <w:rPr>
                      <w:rFonts w:ascii="Trebuchet MS" w:hAnsi="Trebuchet MS"/>
                      <w:color w:val="A6A6A6" w:themeColor="background1" w:themeShade="A6"/>
                      <w:sz w:val="21"/>
                      <w:szCs w:val="21"/>
                    </w:rPr>
                    <w:t>This protocol requires that blood, urine, etc. be collected from the study participants.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Fonts w:ascii="Trebuchet MS" w:hAnsi="Trebuchet MS"/>
                      <w:sz w:val="21"/>
                      <w:szCs w:val="21"/>
                    </w:rPr>
                    <w:t>No</w:t>
                  </w:r>
                </w:p>
              </w:tc>
            </w:tr>
            <w:tr w:rsidR="00086B57" w:rsidRPr="001E2D6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pStyle w:val="NormalWeb"/>
                    <w:rPr>
                      <w:rFonts w:ascii="Trebuchet MS" w:hAnsi="Trebuchet MS"/>
                      <w:sz w:val="21"/>
                      <w:szCs w:val="21"/>
                    </w:rPr>
                  </w:pPr>
                  <w:r w:rsidRPr="001E2D63">
                    <w:rPr>
                      <w:rFonts w:ascii="Trebuchet MS" w:hAnsi="Trebuchet MS"/>
                      <w:sz w:val="21"/>
                      <w:szCs w:val="21"/>
                    </w:rPr>
                    <w:t>Average time of greater than 15 minutes in an unaffected individual</w:t>
                  </w:r>
                </w:p>
                <w:p w:rsidR="00086B57" w:rsidRPr="001E2D63" w:rsidRDefault="00086B57">
                  <w:pPr>
                    <w:pStyle w:val="NormalWeb"/>
                    <w:rPr>
                      <w:rFonts w:ascii="Trebuchet MS" w:hAnsi="Trebuchet MS"/>
                      <w:color w:val="A6A6A6" w:themeColor="background1" w:themeShade="A6"/>
                      <w:sz w:val="21"/>
                      <w:szCs w:val="21"/>
                    </w:rPr>
                  </w:pPr>
                  <w:r w:rsidRPr="001E2D63">
                    <w:rPr>
                      <w:rFonts w:ascii="Trebuchet MS" w:hAnsi="Trebuchet MS"/>
                      <w:color w:val="A6A6A6" w:themeColor="background1" w:themeShade="A6"/>
                      <w:sz w:val="21"/>
                      <w:szCs w:val="21"/>
                    </w:rP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Fonts w:ascii="Trebuchet MS" w:hAnsi="Trebuchet MS"/>
                      <w:sz w:val="21"/>
                      <w:szCs w:val="21"/>
                    </w:rPr>
                    <w:t>No</w:t>
                  </w:r>
                </w:p>
              </w:tc>
            </w:tr>
          </w:tbl>
          <w:p w:rsidR="00086B57" w:rsidRPr="001E2D63" w:rsidRDefault="00086B57">
            <w:pPr>
              <w:rPr>
                <w:rFonts w:ascii="Trebuchet MS" w:hAnsi="Trebuchet MS"/>
                <w:sz w:val="21"/>
                <w:szCs w:val="21"/>
              </w:rPr>
            </w:pPr>
          </w:p>
        </w:tc>
      </w:tr>
      <w:tr w:rsidR="00086B57" w:rsidRPr="001E2D63">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rPr>
                <w:rFonts w:ascii="Trebuchet MS" w:hAnsi="Trebuchet MS"/>
                <w:sz w:val="21"/>
                <w:szCs w:val="21"/>
              </w:rPr>
            </w:pPr>
            <w:r w:rsidRPr="001E2D63">
              <w:rPr>
                <w:rStyle w:val="Strong"/>
                <w:rFonts w:ascii="Trebuchet MS" w:hAnsi="Trebuchet MS"/>
                <w:sz w:val="21"/>
                <w:szCs w:val="21"/>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086B57" w:rsidRPr="001E2D63" w:rsidRDefault="00086B57">
            <w:pPr>
              <w:pStyle w:val="NormalWeb"/>
              <w:rPr>
                <w:rFonts w:ascii="Trebuchet MS" w:hAnsi="Trebuchet MS"/>
                <w:sz w:val="21"/>
                <w:szCs w:val="21"/>
              </w:rPr>
            </w:pPr>
            <w:r w:rsidRPr="001E2D63">
              <w:rPr>
                <w:rFonts w:ascii="Trebuchet MS" w:hAnsi="Trebuchet MS"/>
                <w:sz w:val="21"/>
                <w:szCs w:val="21"/>
              </w:rPr>
              <w:t>The Expert Review Panel has not reviewed this measure yet.</w:t>
            </w:r>
          </w:p>
        </w:tc>
      </w:tr>
    </w:tbl>
    <w:p w:rsidR="00086B57" w:rsidRPr="001E2D63" w:rsidRDefault="00086B57">
      <w:pPr>
        <w:rPr>
          <w:rFonts w:ascii="Trebuchet MS" w:hAnsi="Trebuchet MS"/>
        </w:rPr>
      </w:pPr>
    </w:p>
    <w:sectPr w:rsidR="00086B57" w:rsidRPr="001E2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F3"/>
    <w:rsid w:val="00086B57"/>
    <w:rsid w:val="001E2D63"/>
    <w:rsid w:val="003372F3"/>
    <w:rsid w:val="00EA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tails.loinc.org/LOINC/62757-0.html?sections=Web" TargetMode="External"/><Relationship Id="rId3" Type="http://schemas.openxmlformats.org/officeDocument/2006/relationships/settings" Target="settings.xml"/><Relationship Id="rId7" Type="http://schemas.openxmlformats.org/officeDocument/2006/relationships/hyperlink" Target="https://cdebrowser.nci.nih.gov/CDEBrowser/search?elementDetails=9&amp;FirstTimer=0&amp;PageId=ElementDetailsGroup&amp;publicId=3076084&amp;version=1.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vementdisorders.org/MDS/Education/Rating-Scales.htm" TargetMode="External"/><Relationship Id="rId5" Type="http://schemas.openxmlformats.org/officeDocument/2006/relationships/hyperlink" Target="http://www.movementdisorders.org/MDS/Education/Rating-Scale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4865</CharactersWithSpaces>
  <SharedDoc>false</SharedDoc>
  <HLinks>
    <vt:vector size="24" baseType="variant">
      <vt:variant>
        <vt:i4>8257646</vt:i4>
      </vt:variant>
      <vt:variant>
        <vt:i4>9</vt:i4>
      </vt:variant>
      <vt:variant>
        <vt:i4>0</vt:i4>
      </vt:variant>
      <vt:variant>
        <vt:i4>5</vt:i4>
      </vt:variant>
      <vt:variant>
        <vt:lpwstr>http://s.details.loinc.org/LOINC/62757-0.html?sections=Web</vt:lpwstr>
      </vt:variant>
      <vt:variant>
        <vt:lpwstr/>
      </vt:variant>
      <vt:variant>
        <vt:i4>6750323</vt:i4>
      </vt:variant>
      <vt:variant>
        <vt:i4>6</vt:i4>
      </vt:variant>
      <vt:variant>
        <vt:i4>0</vt:i4>
      </vt:variant>
      <vt:variant>
        <vt:i4>5</vt:i4>
      </vt:variant>
      <vt:variant>
        <vt:lpwstr>https://cdebrowser.nci.nih.gov/CDEBrowser/search?elementDetails=9&amp;FirstTimer=0&amp;PageId=ElementDetailsGroup&amp;publicId=3076084&amp;version=1.0</vt:lpwstr>
      </vt:variant>
      <vt:variant>
        <vt:lpwstr/>
      </vt:variant>
      <vt:variant>
        <vt:i4>1835026</vt:i4>
      </vt:variant>
      <vt:variant>
        <vt:i4>3</vt:i4>
      </vt:variant>
      <vt:variant>
        <vt:i4>0</vt:i4>
      </vt:variant>
      <vt:variant>
        <vt:i4>5</vt:i4>
      </vt:variant>
      <vt:variant>
        <vt:lpwstr>http://www.movementdisorders.org/MDS/Education/Rating-Scales.htm</vt:lpwstr>
      </vt:variant>
      <vt:variant>
        <vt:lpwstr/>
      </vt:variant>
      <vt:variant>
        <vt:i4>1835026</vt:i4>
      </vt:variant>
      <vt:variant>
        <vt:i4>0</vt:i4>
      </vt:variant>
      <vt:variant>
        <vt:i4>0</vt:i4>
      </vt:variant>
      <vt:variant>
        <vt:i4>5</vt:i4>
      </vt:variant>
      <vt:variant>
        <vt:lpwstr>http://www.movementdisorders.org/MDS/Education/Rating-Scales.htm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Hwang, Stephen</dc:creator>
  <cp:lastModifiedBy>Hwang, Stephen</cp:lastModifiedBy>
  <cp:revision>2</cp:revision>
  <dcterms:created xsi:type="dcterms:W3CDTF">2017-12-06T18:18:00Z</dcterms:created>
  <dcterms:modified xsi:type="dcterms:W3CDTF">2017-12-06T18:18:00Z</dcterms:modified>
</cp:coreProperties>
</file>