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Reproductive Health</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History of Prepubertal Development</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Questions to assess how old participants were when they reached puberty.</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The purpose of these questions is to determine when participants reached puberty. It is important to measure because it is linked to sexual development and maturity.</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Current Age</w:t>
            </w:r>
            <w:r>
              <w:br/>
              <w:t>Gender</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Development</w:t>
            </w:r>
            <w:r>
              <w:br/>
              <w:t>Pregnancy and Fertility History</w:t>
            </w:r>
            <w:r>
              <w:br/>
              <w:t>Personal Characteristics Risks to Pregnancy</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Reproductive health, female prepubertal development, menstruation, height, male prepubertal development, puberty, maturity, age at menarche, history of prepubertal development, Black Women's Health Study, Study of Future Families, National Longitudinal Survey of Youth</w:t>
            </w:r>
          </w:p>
        </w:tc>
      </w:tr>
    </w:tbl>
    <w:p w:rsidR="00201A0C" w:rsidRPr="00B93F52" w:rsidRDefault="00201A0C">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4"/>
        <w:gridCol w:w="7496"/>
      </w:tblGrid>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February 26, 2010</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History of Prepubertal Development - Female</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The Expert Review Panel has not reviewed this measure yet.</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Female participants answer questions about when menstruation began and when they reached full h</w:t>
            </w:r>
            <w:bookmarkStart w:id="0" w:name="_GoBack"/>
            <w:bookmarkEnd w:id="0"/>
            <w:r>
              <w:t>eight.</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The PhenX Reproductive Health Working Group recommends adding the response categories "can't remember" and "don't know" to Question 1 for females.</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rPr>
                <w:rStyle w:val="Strong"/>
              </w:rPr>
              <w:t>A. Female</w:t>
            </w:r>
          </w:p>
          <w:p w:rsidR="00201A0C" w:rsidRPr="00B93F52" w:rsidRDefault="00201A0C">
            <w:pPr>
              <w:pStyle w:val="NormalWeb"/>
            </w:pPr>
            <w:r w:rsidRPr="00B93F52">
              <w:t>1. How old were you when your menstrual periods began?</w:t>
            </w:r>
          </w:p>
          <w:p w:rsidR="00201A0C" w:rsidRPr="00B93F52" w:rsidRDefault="00201A0C">
            <w:pPr>
              <w:pStyle w:val="NormalWeb"/>
            </w:pPr>
            <w:r w:rsidRPr="00B93F52">
              <w:t xml:space="preserve">[ ]  9 or less; </w:t>
            </w:r>
          </w:p>
          <w:p w:rsidR="00201A0C" w:rsidRPr="00B93F52" w:rsidRDefault="00201A0C">
            <w:pPr>
              <w:pStyle w:val="NormalWeb"/>
            </w:pPr>
            <w:r w:rsidRPr="00B93F52">
              <w:t>[ ]  10</w:t>
            </w:r>
          </w:p>
          <w:p w:rsidR="00201A0C" w:rsidRPr="00B93F52" w:rsidRDefault="00201A0C">
            <w:pPr>
              <w:pStyle w:val="NormalWeb"/>
            </w:pPr>
            <w:r w:rsidRPr="00B93F52">
              <w:t>[ ]  11</w:t>
            </w:r>
          </w:p>
          <w:p w:rsidR="00201A0C" w:rsidRPr="00B93F52" w:rsidRDefault="00201A0C">
            <w:pPr>
              <w:pStyle w:val="NormalWeb"/>
            </w:pPr>
            <w:r w:rsidRPr="00B93F52">
              <w:t>[ ]  12</w:t>
            </w:r>
          </w:p>
          <w:p w:rsidR="00201A0C" w:rsidRPr="00B93F52" w:rsidRDefault="00201A0C">
            <w:pPr>
              <w:pStyle w:val="NormalWeb"/>
            </w:pPr>
            <w:r w:rsidRPr="00B93F52">
              <w:lastRenderedPageBreak/>
              <w:t>[ ]  13</w:t>
            </w:r>
          </w:p>
          <w:p w:rsidR="00201A0C" w:rsidRPr="00B93F52" w:rsidRDefault="00201A0C">
            <w:pPr>
              <w:pStyle w:val="NormalWeb"/>
            </w:pPr>
            <w:r w:rsidRPr="00B93F52">
              <w:t>[ ]  14</w:t>
            </w:r>
          </w:p>
          <w:p w:rsidR="00201A0C" w:rsidRPr="00B93F52" w:rsidRDefault="00201A0C">
            <w:pPr>
              <w:pStyle w:val="NormalWeb"/>
            </w:pPr>
            <w:r w:rsidRPr="00B93F52">
              <w:t>[ ]  15</w:t>
            </w:r>
          </w:p>
          <w:p w:rsidR="00201A0C" w:rsidRPr="00B93F52" w:rsidRDefault="00201A0C">
            <w:pPr>
              <w:pStyle w:val="NormalWeb"/>
            </w:pPr>
            <w:r w:rsidRPr="00B93F52">
              <w:t>[ ]  16</w:t>
            </w:r>
          </w:p>
          <w:p w:rsidR="00201A0C" w:rsidRPr="00B93F52" w:rsidRDefault="00201A0C">
            <w:pPr>
              <w:pStyle w:val="NormalWeb"/>
            </w:pPr>
            <w:r w:rsidRPr="00B93F52">
              <w:t>[ ]  17 or more</w:t>
            </w:r>
          </w:p>
          <w:p w:rsidR="00201A0C" w:rsidRPr="00B93F52" w:rsidRDefault="00201A0C">
            <w:pPr>
              <w:pStyle w:val="NormalWeb"/>
            </w:pPr>
            <w:r w:rsidRPr="00B93F52">
              <w:t>[ ]  never had periods</w:t>
            </w:r>
          </w:p>
          <w:p w:rsidR="00201A0C" w:rsidRPr="00B93F52" w:rsidRDefault="00201A0C">
            <w:pPr>
              <w:pStyle w:val="NormalWeb"/>
            </w:pPr>
            <w:r w:rsidRPr="00B93F52">
              <w:t xml:space="preserve">2. At about what age did you reach your full height? </w:t>
            </w:r>
          </w:p>
          <w:p w:rsidR="00201A0C" w:rsidRPr="00B93F52" w:rsidRDefault="00201A0C">
            <w:pPr>
              <w:pStyle w:val="NormalWeb"/>
            </w:pPr>
            <w:r w:rsidRPr="00B93F52">
              <w:t>[ ]  Before age 13</w:t>
            </w:r>
          </w:p>
          <w:p w:rsidR="00201A0C" w:rsidRPr="00B93F52" w:rsidRDefault="00201A0C">
            <w:pPr>
              <w:pStyle w:val="NormalWeb"/>
            </w:pPr>
            <w:r w:rsidRPr="00B93F52">
              <w:t>[ ]  13-17 years of age</w:t>
            </w:r>
          </w:p>
          <w:p w:rsidR="00201A0C" w:rsidRPr="00B93F52" w:rsidRDefault="00201A0C">
            <w:pPr>
              <w:pStyle w:val="NormalWeb"/>
            </w:pPr>
            <w:r w:rsidRPr="00B93F52">
              <w:t>[ ]  after age 17</w:t>
            </w:r>
          </w:p>
          <w:p w:rsidR="00201A0C" w:rsidRPr="00B93F52" w:rsidRDefault="00201A0C">
            <w:pPr>
              <w:pStyle w:val="NormalWeb"/>
            </w:pPr>
            <w:r w:rsidRPr="00B93F52">
              <w:t>[ ]  don't know</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The protocols are from well established studies with questions that have been used for more than a decade.</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pPr>
              <w:spacing w:after="240"/>
            </w:pPr>
            <w:r>
              <w:t>Females</w:t>
            </w:r>
            <w:r>
              <w:br/>
            </w:r>
            <w:r>
              <w:br/>
              <w:t>Slone Epidemiology Center at Boston University, 1010 Commonwealth Avenue, Boston, MA 02215. Black Women's Health Study 1995. Question 7 (question 1).</w:t>
            </w:r>
            <w:r>
              <w:br/>
            </w:r>
            <w:r>
              <w:br/>
              <w:t>Slone Epidemiology Center at Boston University, 1010 Commonwealth Avenue, Boston, MA 02215. Black Women's Health Study 1999. Question 5 (question 2).</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Adult</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English</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Females: ages 21-64</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None</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Pencil and paper for self-administered questions.</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2"/>
              <w:gridCol w:w="2374"/>
              <w:gridCol w:w="930"/>
              <w:gridCol w:w="1124"/>
            </w:tblGrid>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Source</w:t>
                  </w:r>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 xml:space="preserve">Common Data Element </w:t>
                  </w:r>
                  <w:r>
                    <w:lastRenderedPageBreak/>
                    <w:t>(CDE)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lastRenderedPageBreak/>
                    <w:t xml:space="preserve">Person Prepuberty </w:t>
                  </w:r>
                  <w:r>
                    <w:lastRenderedPageBreak/>
                    <w:t>Development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lastRenderedPageBreak/>
                    <w:t>3007456</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hyperlink r:id="rId4" w:history="1">
                    <w:r>
                      <w:rPr>
                        <w:rStyle w:val="Hyperlink"/>
                      </w:rPr>
                      <w:t xml:space="preserve">CDE </w:t>
                    </w:r>
                    <w:r>
                      <w:rPr>
                        <w:rStyle w:val="Hyperlink"/>
                      </w:rPr>
                      <w:lastRenderedPageBreak/>
                      <w:t>Browser</w:t>
                    </w:r>
                  </w:hyperlink>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lastRenderedPageBreak/>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Hx prepubertal devel female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62657-2</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hyperlink r:id="rId5" w:history="1">
                    <w:r>
                      <w:rPr>
                        <w:rStyle w:val="Hyperlink"/>
                      </w:rPr>
                      <w:t>LOINC</w:t>
                    </w:r>
                  </w:hyperlink>
                </w:p>
              </w:tc>
            </w:tr>
          </w:tbl>
          <w:p w:rsidR="00201A0C" w:rsidRDefault="00201A0C"/>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 xml:space="preserve">Jenner MR, Kelch RP, Kaplan SL, Grümbach MM. (1972). Hormonal changes in puberty. IV. Plasma estradiol, LH, and FSH in prepubertal children, pubertal females, and in precocious puberty, premature thelarche, hypogonadism, and in a child with a feminizing ovarian tumor. </w:t>
            </w:r>
            <w:r w:rsidRPr="00B93F52">
              <w:rPr>
                <w:rStyle w:val="Emphasis"/>
              </w:rPr>
              <w:t>J Clin Endocrinol Metab</w:t>
            </w:r>
            <w:r w:rsidRPr="00B93F52">
              <w:t>, 34(3):521-30.</w:t>
            </w:r>
          </w:p>
          <w:p w:rsidR="00201A0C" w:rsidRPr="00B93F52" w:rsidRDefault="00201A0C">
            <w:pPr>
              <w:pStyle w:val="NormalWeb"/>
            </w:pPr>
            <w:r w:rsidRPr="00B93F52">
              <w:t xml:space="preserve">Jost, A. (1970). Hormonal factors in the sex differentiation of the mammalian foetus. </w:t>
            </w:r>
            <w:r w:rsidRPr="00B93F52">
              <w:rPr>
                <w:rStyle w:val="Emphasis"/>
              </w:rPr>
              <w:t>Philos Trans R Soc Lond B Biol Sci</w:t>
            </w:r>
            <w:r w:rsidRPr="00B93F52">
              <w:t>, 259:119.</w:t>
            </w:r>
          </w:p>
          <w:p w:rsidR="00201A0C" w:rsidRPr="00B93F52" w:rsidRDefault="00201A0C">
            <w:pPr>
              <w:pStyle w:val="NormalWeb"/>
            </w:pPr>
            <w:r w:rsidRPr="00B93F52">
              <w:t xml:space="preserve">MacLaughlin, DT, Donahoe, PK. (2004). Sex determination and differentiation. </w:t>
            </w:r>
            <w:r w:rsidRPr="00B93F52">
              <w:rPr>
                <w:rStyle w:val="Emphasis"/>
              </w:rPr>
              <w:t>N Engl J Med, 350</w:t>
            </w:r>
            <w:r w:rsidRPr="00B93F52">
              <w:t>(4):367-78.</w:t>
            </w:r>
          </w:p>
          <w:p w:rsidR="00201A0C" w:rsidRPr="00B93F52" w:rsidRDefault="00201A0C">
            <w:pPr>
              <w:pStyle w:val="NormalWeb"/>
            </w:pPr>
            <w:r w:rsidRPr="00B93F52">
              <w:t xml:space="preserve">Maliqueo M, Sir-Petermann T, Perez V, Echiburu B, Ladron de Guevara A, Galvez C, et al. (2009). Adrenal Function during Childhood and Puberty in Daughters of Women with Polycystic Ovary Syndrome. </w:t>
            </w:r>
            <w:r w:rsidRPr="00B93F52">
              <w:rPr>
                <w:rStyle w:val="Emphasis"/>
              </w:rPr>
              <w:t>J Clin Endocrinol Metab, 94</w:t>
            </w:r>
            <w:r w:rsidRPr="00B93F52">
              <w:t>: 3282-3288.</w:t>
            </w:r>
          </w:p>
          <w:p w:rsidR="00201A0C" w:rsidRPr="00B93F52" w:rsidRDefault="00201A0C">
            <w:pPr>
              <w:pStyle w:val="NormalWeb"/>
            </w:pPr>
            <w:r w:rsidRPr="00B93F52">
              <w:t xml:space="preserve">Marshall, W, Tanner, J. (1969). Variations in the pattern of pubertal changes in girls. </w:t>
            </w:r>
            <w:r w:rsidRPr="00B93F52">
              <w:rPr>
                <w:rStyle w:val="Emphasis"/>
              </w:rPr>
              <w:t>Arch Dis Child</w:t>
            </w:r>
            <w:r w:rsidRPr="00B93F52">
              <w:t>, 44:291.</w:t>
            </w:r>
          </w:p>
          <w:p w:rsidR="00201A0C" w:rsidRPr="00B93F52" w:rsidRDefault="00201A0C">
            <w:pPr>
              <w:pStyle w:val="NormalWeb"/>
            </w:pPr>
            <w:r w:rsidRPr="00B93F52">
              <w:t xml:space="preserve">Sizonenko PC, Burr IM, Kaplan SL, Grumbach MM. (1970). Hormonal changes in puberty. II. Correlation of serum luteinizing hormone and follicle stimulating hormone with stages of puberty and bone age in normal girls. </w:t>
            </w:r>
            <w:r w:rsidRPr="00B93F52">
              <w:rPr>
                <w:rStyle w:val="Emphasis"/>
              </w:rPr>
              <w:t>Pediatr Res., 4</w:t>
            </w:r>
            <w:r w:rsidRPr="00B93F52">
              <w:t>(1):36-45.</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Self-administered questionnaire</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None</w:t>
            </w:r>
          </w:p>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5"/>
              <w:gridCol w:w="1065"/>
            </w:tblGrid>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Required</w:t>
                  </w:r>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No</w:t>
                  </w:r>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No</w:t>
                  </w:r>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No</w:t>
                  </w:r>
                </w:p>
              </w:tc>
            </w:tr>
            <w:tr w:rsidR="00201A0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t>No</w:t>
                  </w:r>
                </w:p>
              </w:tc>
            </w:tr>
          </w:tbl>
          <w:p w:rsidR="00201A0C" w:rsidRDefault="00201A0C"/>
        </w:tc>
      </w:tr>
      <w:tr w:rsidR="00201A0C">
        <w:tc>
          <w:tcPr>
            <w:tcW w:w="0" w:type="auto"/>
            <w:tcBorders>
              <w:top w:val="outset" w:sz="6" w:space="0" w:color="auto"/>
              <w:left w:val="outset" w:sz="6" w:space="0" w:color="auto"/>
              <w:bottom w:val="outset" w:sz="6" w:space="0" w:color="auto"/>
              <w:right w:val="outset" w:sz="6" w:space="0" w:color="auto"/>
            </w:tcBorders>
            <w:vAlign w:val="center"/>
            <w:hideMark/>
          </w:tcPr>
          <w:p w:rsidR="00201A0C" w:rsidRDefault="00201A0C">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201A0C" w:rsidRPr="00B93F52" w:rsidRDefault="00201A0C">
            <w:pPr>
              <w:pStyle w:val="NormalWeb"/>
            </w:pPr>
            <w:r w:rsidRPr="00B93F52">
              <w:t>The Expert Review Panel has not reviewed this measure yet.</w:t>
            </w:r>
          </w:p>
        </w:tc>
      </w:tr>
    </w:tbl>
    <w:p w:rsidR="00201A0C" w:rsidRDefault="00201A0C"/>
    <w:sectPr w:rsidR="0020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F52"/>
    <w:rsid w:val="001F5886"/>
    <w:rsid w:val="00201A0C"/>
    <w:rsid w:val="00B9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1BC56-532E-407F-95A7-694223F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57-2.html?sections=Web" TargetMode="External"/><Relationship Id="rId4" Type="http://schemas.openxmlformats.org/officeDocument/2006/relationships/hyperlink" Target="https://cdebrowser.nci.nih.gov/CDEBrowser/search?elementDetails=9&amp;FirstTimer=0&amp;PageId=ElementDetailsGroup&amp;publicId=300745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Links>
    <vt:vector size="12" baseType="variant">
      <vt:variant>
        <vt:i4>8192110</vt:i4>
      </vt:variant>
      <vt:variant>
        <vt:i4>3</vt:i4>
      </vt:variant>
      <vt:variant>
        <vt:i4>0</vt:i4>
      </vt:variant>
      <vt:variant>
        <vt:i4>5</vt:i4>
      </vt:variant>
      <vt:variant>
        <vt:lpwstr>http://s.details.loinc.org/LOINC/62657-2.html?sections=Web</vt:lpwstr>
      </vt:variant>
      <vt:variant>
        <vt:lpwstr/>
      </vt:variant>
      <vt:variant>
        <vt:i4>6684799</vt:i4>
      </vt:variant>
      <vt:variant>
        <vt:i4>0</vt:i4>
      </vt:variant>
      <vt:variant>
        <vt:i4>0</vt:i4>
      </vt:variant>
      <vt:variant>
        <vt:i4>5</vt:i4>
      </vt:variant>
      <vt:variant>
        <vt:lpwstr>https://cdebrowser.nci.nih.gov/CDEBrowser/search?elementDetails=9&amp;FirstTimer=0&amp;PageId=ElementDetailsGroup&amp;publicId=3007456&amp;version=1.0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2017-04-10T14:08:00Z</dcterms:created>
  <dcterms:modified xsi:type="dcterms:W3CDTF">2017-04-10T14:08:00Z</dcterms:modified>
</cp:coreProperties>
</file>