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B216ED5" Type="http://schemas.openxmlformats.org/officeDocument/2006/relationships/officeDocument" Target="/word/document.xml" /><Relationship Id="coreR7B216ED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100202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Reproductive Health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Causes and Treatments of Known Infertility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spacing w:before="240" w:after="240"/>
              <w:ind w:left="0" w:right="0"/>
              <w:rPr>
                <w:rFonts w:ascii="Arial" w:hAnsi="Arial"/>
                <w:sz w:val="21"/>
              </w:rPr>
            </w:pPr>
            <w:r>
              <w:rPr>
                <w:rFonts w:ascii="Arial" w:hAnsi="Arial"/>
                <w:sz w:val="21"/>
              </w:rPr>
              <w:t>Questions to assess a participant’s experience with infertility</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spacing w:before="240" w:after="240"/>
              <w:ind w:left="0" w:right="0"/>
              <w:rPr>
                <w:rFonts w:ascii="Arial" w:hAnsi="Arial"/>
                <w:sz w:val="21"/>
              </w:rPr>
            </w:pPr>
            <w:r>
              <w:rPr>
                <w:rFonts w:ascii="Arial" w:hAnsi="Arial"/>
                <w:sz w:val="21"/>
              </w:rPr>
              <w:t>These questions are used to determine the cause of the participant’s or his or her partner’s infertility and the treatments that he or she may have sought. It is important to measure because it can be related to birth outcomes (e.g., multiple births). Infertility may also be associated with gene/environmental interactions.</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Female Reproductive Organ Surgical Procedures [100501]</w:t>
              <w:br w:type="textWrapping"/>
              <w:t>Removal of Female Reproductive Organs [100502]</w:t>
              <w:br w:type="textWrapping"/>
              <w:t>Hormonal Therapy [100701]</w:t>
              <w:br w:type="textWrapping"/>
              <w:t>Hormonal Therapy [100702]</w:t>
              <w:br w:type="textWrapping"/>
              <w:t>Prostate Health [101201]</w:t>
              <w:br w:type="textWrapping"/>
              <w:t>Prostate Symptoms [101202]</w:t>
              <w:br w:type="textWrapping"/>
              <w:t xml:space="preserve">Testes Volume [101501]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April 11, 2017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26, 2010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April 11, 2017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Causes and Treatments of Known Infertility - Female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Reproductive health; infertility; fertility drug; National Survey of Family Growth; NSFG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ind w:left="0" w:right="0"/>
            </w:pPr>
            <w:r>
              <w:rPr>
                <w:rFonts w:ascii="Arial" w:hAnsi="Arial"/>
                <w:sz w:val="21"/>
              </w:rPr>
              <w:t xml:space="preserve">The interviewer asks the participant questions about whether the participant or partner has needed medical assistance with having a baby, the type of assistance, and the type of infertility problems.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Questions 1-3 are asked of both males and females.</w:t>
            </w:r>
          </w:p>
          <w:p>
            <w:pPr>
              <w:spacing w:before="240" w:after="240"/>
              <w:ind w:left="0" w:right="0"/>
              <w:rPr>
                <w:rFonts w:ascii="Arial" w:hAnsi="Arial"/>
                <w:sz w:val="21"/>
              </w:rPr>
            </w:pPr>
            <w:r>
              <w:rPr>
                <w:rFonts w:ascii="Arial" w:hAnsi="Arial"/>
                <w:sz w:val="21"/>
              </w:rPr>
              <w:t>The NSFG provides a card of response categories to the respondent. For example, in question 2, an investigator would provide the respondent with a card listing the categories "advice, infertility testing, drugs to improve ovulation," "surgery to correct blocked tubes," "artificial insemination," "treatment for varicocele," and "other types of medical help." A card was also provided in question 3. RTI has removed references of the card from the questions.</w:t>
            </w:r>
          </w:p>
          <w:p>
            <w:pPr>
              <w:spacing w:before="240" w:after="240"/>
              <w:ind w:left="0" w:right="0"/>
              <w:rPr>
                <w:rFonts w:ascii="Arial" w:hAnsi="Arial"/>
                <w:sz w:val="21"/>
              </w:rPr>
            </w:pPr>
            <w:r>
              <w:rPr>
                <w:rFonts w:ascii="Arial" w:hAnsi="Arial"/>
                <w:sz w:val="21"/>
              </w:rPr>
              <w:t>The male NSFG questions (questions 1-3) have been modified to indicate partner instead of wife.</w:t>
            </w:r>
          </w:p>
          <w:p>
            <w:pPr>
              <w:spacing w:before="240" w:after="240"/>
              <w:ind w:left="0" w:right="0"/>
              <w:rPr>
                <w:rFonts w:ascii="Arial" w:hAnsi="Arial"/>
                <w:sz w:val="21"/>
              </w:rPr>
            </w:pPr>
            <w:r>
              <w:rPr>
                <w:rFonts w:ascii="Arial" w:hAnsi="Arial"/>
                <w:sz w:val="21"/>
              </w:rPr>
              <w:t>Below are some lay definitions from the Mayo Clinic website that researchers may find helpful in using the toolkit:</w:t>
            </w:r>
          </w:p>
          <w:p>
            <w:pPr>
              <w:numPr>
                <w:ilvl w:val="0"/>
                <w:numId w:val="1"/>
              </w:numPr>
              <w:spacing w:before="0" w:after="0"/>
              <w:ind w:hanging="360" w:left="720" w:right="0"/>
              <w:rPr>
                <w:rFonts w:ascii="Arial" w:hAnsi="Arial"/>
                <w:sz w:val="21"/>
              </w:rPr>
            </w:pPr>
            <w:r>
              <w:rPr>
                <w:rFonts w:ascii="Arial" w:hAnsi="Arial"/>
                <w:sz w:val="21"/>
              </w:rPr>
              <w:t>Uterine fibroids are noncancerous growths of the uterus that often appear during childbearing years. Also called fibromyomas, leiomyomas or myomas, uterine fibroids arent associated with an increased risk of uterine cancer and almost never develop into cancer. (Mayo Clinic. http://www.mayoclinic.com/health/uterine-fibroids/DS00078 accessed February 15, 2010.)</w:t>
            </w:r>
          </w:p>
          <w:p>
            <w:pPr>
              <w:numPr>
                <w:ilvl w:val="0"/>
                <w:numId w:val="1"/>
              </w:numPr>
              <w:spacing w:before="0" w:after="0"/>
              <w:ind w:hanging="360" w:left="720" w:right="0"/>
              <w:rPr>
                <w:rFonts w:ascii="Arial" w:hAnsi="Arial"/>
                <w:sz w:val="21"/>
              </w:rPr>
            </w:pPr>
            <w:r>
              <w:rPr>
                <w:rFonts w:ascii="Arial" w:hAnsi="Arial"/>
                <w:sz w:val="21"/>
              </w:rPr>
              <w:t>Endometriosis is a disorder of the female reproductive system. In endometriosis, the endometrium, which normally lines the uterus, grows in other places as well. Most often, this growth is on the fallopian tubes, ovaries or the tissue lining the pelvis. When endometrial tissue is located elsewhere in your body, it continues to act as it normally would during a menstrual cycle: It thickens, breaks down and bleeds each month. Because theres nowhere for the blood from this displaced tissue to exit your body, it becomes trapped, and surrounding tissue can become irritated. Trapped blood may lead to cysts, scar tissue and adhesions - abnormal tissue that binds organs together. This process can cause pelvic pain, especially during menstruation. Endometriosis also can cause fertility problems. (Mayo Clinic. http://www.mayoclinic.com/health/endometriosis/DS00289 accessed February 15, 2010.)</w:t>
            </w:r>
          </w:p>
          <w:p>
            <w:pPr>
              <w:spacing w:before="240" w:after="240"/>
              <w:ind w:left="0" w:right="0"/>
              <w:rPr>
                <w:rFonts w:ascii="Arial" w:hAnsi="Arial"/>
                <w:sz w:val="21"/>
              </w:rPr>
            </w:pPr>
            <w:r>
              <w:rPr>
                <w:rFonts w:ascii="Arial" w:hAnsi="Arial"/>
                <w:sz w:val="21"/>
              </w:rPr>
              <w:t>The PhenX Working Group recommends this measure should be preceded by "Difficulty in Conceiving" for a more complete assessment of infertility.</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Did you or your partner* ever go / Have you or your partner* ever been to a doctor or other medical care provider to talk about ways to help you have a baby together?</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5 No (Skip to end)</w:t>
            </w:r>
          </w:p>
          <w:p>
            <w:pPr>
              <w:spacing w:before="240" w:after="240"/>
              <w:ind w:left="0" w:right="0"/>
              <w:rPr>
                <w:rFonts w:ascii="Arial" w:hAnsi="Arial"/>
                <w:sz w:val="21"/>
              </w:rPr>
            </w:pPr>
            <w:r>
              <w:rPr>
                <w:rFonts w:ascii="Arial" w:hAnsi="Arial"/>
                <w:sz w:val="21"/>
              </w:rPr>
              <w:t>NOTE: Do not code yes if main purpose of visit was for something other than seeking help to have a baby.</w:t>
            </w:r>
          </w:p>
          <w:p>
            <w:pPr>
              <w:spacing w:before="240" w:after="240"/>
              <w:ind w:left="0" w:right="0"/>
              <w:rPr>
                <w:rFonts w:ascii="Arial" w:hAnsi="Arial"/>
                <w:sz w:val="21"/>
              </w:rPr>
            </w:pPr>
            <w:r>
              <w:rPr>
                <w:rFonts w:ascii="Arial" w:hAnsi="Arial"/>
                <w:sz w:val="21"/>
              </w:rPr>
              <w:t xml:space="preserve">2. Which of the services (did / have) you or your / partner*) (have / had) to help you have a baby together? ENTER all that apply: </w:t>
            </w:r>
          </w:p>
          <w:p>
            <w:pPr>
              <w:spacing w:before="240" w:after="240"/>
              <w:ind w:left="0" w:right="0"/>
              <w:rPr>
                <w:rFonts w:ascii="Arial" w:hAnsi="Arial"/>
                <w:sz w:val="21"/>
              </w:rPr>
            </w:pPr>
            <w:r>
              <w:rPr>
                <w:rFonts w:ascii="Arial" w:hAnsi="Arial"/>
                <w:sz w:val="21"/>
              </w:rPr>
              <w:t>[ ] 1 Advice</w:t>
            </w:r>
          </w:p>
          <w:p>
            <w:pPr>
              <w:spacing w:before="240" w:after="240"/>
              <w:ind w:left="0" w:right="0"/>
              <w:rPr>
                <w:rFonts w:ascii="Arial" w:hAnsi="Arial"/>
                <w:sz w:val="21"/>
              </w:rPr>
            </w:pPr>
            <w:r>
              <w:rPr>
                <w:rFonts w:ascii="Arial" w:hAnsi="Arial"/>
                <w:sz w:val="21"/>
              </w:rPr>
              <w:t>[ ] 2 Infertility testing</w:t>
            </w:r>
          </w:p>
          <w:p>
            <w:pPr>
              <w:spacing w:before="240" w:after="240"/>
              <w:ind w:left="0" w:right="0"/>
              <w:rPr>
                <w:rFonts w:ascii="Arial" w:hAnsi="Arial"/>
                <w:sz w:val="21"/>
              </w:rPr>
            </w:pPr>
            <w:r>
              <w:rPr>
                <w:rFonts w:ascii="Arial" w:hAnsi="Arial"/>
                <w:sz w:val="21"/>
              </w:rPr>
              <w:t>[ ] 3 Drugs to improve ovulation</w:t>
            </w:r>
          </w:p>
          <w:p>
            <w:pPr>
              <w:spacing w:before="240" w:after="240"/>
              <w:ind w:left="0" w:right="0"/>
              <w:rPr>
                <w:rFonts w:ascii="Arial" w:hAnsi="Arial"/>
                <w:sz w:val="21"/>
              </w:rPr>
            </w:pPr>
            <w:r>
              <w:rPr>
                <w:rFonts w:ascii="Arial" w:hAnsi="Arial"/>
                <w:sz w:val="21"/>
              </w:rPr>
              <w:t>[ ] 4 Surgery to correct blocked tubes;</w:t>
            </w:r>
          </w:p>
          <w:p>
            <w:pPr>
              <w:spacing w:before="240" w:after="240"/>
              <w:ind w:left="0" w:right="0"/>
              <w:rPr>
                <w:rFonts w:ascii="Arial" w:hAnsi="Arial"/>
                <w:sz w:val="21"/>
              </w:rPr>
            </w:pPr>
            <w:r>
              <w:rPr>
                <w:rFonts w:ascii="Arial" w:hAnsi="Arial"/>
                <w:sz w:val="21"/>
              </w:rPr>
              <w:t>[ ] 5 Artificial insemination</w:t>
            </w:r>
          </w:p>
          <w:p>
            <w:pPr>
              <w:spacing w:before="240" w:after="240"/>
              <w:ind w:left="0" w:right="0"/>
              <w:rPr>
                <w:rFonts w:ascii="Arial" w:hAnsi="Arial"/>
                <w:sz w:val="21"/>
              </w:rPr>
            </w:pPr>
            <w:r>
              <w:rPr>
                <w:rFonts w:ascii="Arial" w:hAnsi="Arial"/>
                <w:sz w:val="21"/>
              </w:rPr>
              <w:t>[ ] 6 Treatment for varicocele</w:t>
            </w:r>
          </w:p>
          <w:p>
            <w:pPr>
              <w:spacing w:before="240" w:after="240"/>
              <w:ind w:left="0" w:right="0"/>
              <w:rPr>
                <w:rFonts w:ascii="Arial" w:hAnsi="Arial"/>
                <w:sz w:val="21"/>
              </w:rPr>
            </w:pPr>
            <w:r>
              <w:rPr>
                <w:rFonts w:ascii="Arial" w:hAnsi="Arial"/>
                <w:sz w:val="21"/>
              </w:rPr>
              <w:t>[ ] 7 Other types of medical help</w:t>
            </w:r>
          </w:p>
          <w:p>
            <w:pPr>
              <w:spacing w:before="240" w:after="240"/>
              <w:ind w:left="0" w:right="0"/>
              <w:rPr>
                <w:rFonts w:ascii="Arial" w:hAnsi="Arial"/>
                <w:sz w:val="21"/>
              </w:rPr>
            </w:pPr>
            <w:r>
              <w:rPr>
                <w:rFonts w:ascii="Arial" w:hAnsi="Arial"/>
                <w:sz w:val="21"/>
              </w:rPr>
              <w:t xml:space="preserve">3. When you and your partner* went for medical help to have a baby together, was your partner ever told that he had any of the following male infertility problems? ENTER all that apply: </w:t>
            </w:r>
          </w:p>
          <w:p>
            <w:pPr>
              <w:spacing w:before="240" w:after="240"/>
              <w:ind w:left="0" w:right="0"/>
              <w:rPr>
                <w:rFonts w:ascii="Arial" w:hAnsi="Arial"/>
                <w:sz w:val="21"/>
              </w:rPr>
            </w:pPr>
            <w:r>
              <w:rPr>
                <w:rFonts w:ascii="Arial" w:hAnsi="Arial"/>
                <w:sz w:val="21"/>
              </w:rPr>
              <w:t>[ ] 1 sperm or semen problems</w:t>
            </w:r>
          </w:p>
          <w:p>
            <w:pPr>
              <w:spacing w:before="240" w:after="240"/>
              <w:ind w:left="0" w:right="0"/>
              <w:rPr>
                <w:rFonts w:ascii="Arial" w:hAnsi="Arial"/>
                <w:sz w:val="21"/>
              </w:rPr>
            </w:pPr>
            <w:r>
              <w:rPr>
                <w:rFonts w:ascii="Arial" w:hAnsi="Arial"/>
                <w:sz w:val="21"/>
              </w:rPr>
              <w:t>[ ] 2 varicocele</w:t>
            </w:r>
          </w:p>
          <w:p>
            <w:pPr>
              <w:spacing w:before="240" w:after="240"/>
              <w:ind w:left="0" w:right="0"/>
              <w:rPr>
                <w:rFonts w:ascii="Arial" w:hAnsi="Arial"/>
                <w:sz w:val="21"/>
              </w:rPr>
            </w:pPr>
            <w:r>
              <w:rPr>
                <w:rFonts w:ascii="Arial" w:hAnsi="Arial"/>
                <w:sz w:val="21"/>
              </w:rPr>
              <w:t>[ ] 3 other</w:t>
            </w:r>
          </w:p>
          <w:p>
            <w:pPr>
              <w:spacing w:before="240" w:after="240"/>
              <w:ind w:left="0" w:right="0"/>
              <w:rPr>
                <w:rFonts w:ascii="Arial" w:hAnsi="Arial"/>
                <w:sz w:val="21"/>
              </w:rPr>
            </w:pPr>
            <w:r>
              <w:rPr>
                <w:rFonts w:ascii="Arial" w:hAnsi="Arial"/>
                <w:sz w:val="21"/>
              </w:rPr>
              <w:t>[ ] 4 none of the above</w:t>
            </w:r>
          </w:p>
          <w:p>
            <w:pPr>
              <w:spacing w:before="240" w:after="240"/>
              <w:ind w:left="0" w:right="0"/>
              <w:rPr>
                <w:rFonts w:ascii="Arial" w:hAnsi="Arial"/>
                <w:sz w:val="21"/>
              </w:rPr>
            </w:pPr>
            <w:r>
              <w:rPr>
                <w:rFonts w:ascii="Arial" w:hAnsi="Arial"/>
                <w:sz w:val="21"/>
              </w:rPr>
              <w:t>*Note: The questions have been modified by the PhenX Working Group to indicate partner instead of wife.</w:t>
            </w:r>
          </w:p>
          <w:p>
            <w:pPr>
              <w:spacing w:before="240" w:after="240"/>
              <w:ind w:left="0" w:right="0"/>
              <w:rPr>
                <w:rFonts w:ascii="Arial" w:hAnsi="Arial"/>
                <w:sz w:val="21"/>
              </w:rPr>
            </w:pPr>
            <w:r>
              <w:rPr>
                <w:rFonts w:ascii="Arial" w:hAnsi="Arial"/>
                <w:sz w:val="21"/>
              </w:rPr>
              <w:t>4. Has a doctor or other medical care provider ever told you you had fibroid tumors or myomas in your uterus?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5 No</w:t>
            </w:r>
          </w:p>
          <w:p>
            <w:pPr>
              <w:spacing w:before="240" w:after="240"/>
              <w:ind w:left="0" w:right="0"/>
              <w:rPr>
                <w:rFonts w:ascii="Arial" w:hAnsi="Arial"/>
                <w:sz w:val="21"/>
              </w:rPr>
            </w:pPr>
            <w:r>
              <w:rPr>
                <w:rFonts w:ascii="Arial" w:hAnsi="Arial"/>
                <w:sz w:val="21"/>
              </w:rPr>
              <w:t>5. Has a doctor or other medical care provider ever told you you had endometriosis?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5 No</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National Survey of Family Growth Cycle 6 includes questions that address the causes and treatment of infertility. Cycle 6 includes both male and female respondents and represents the household population of the U.S. between the ages of 15-44 years.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ind w:left="0" w:right="0"/>
            </w:pPr>
            <w:r>
              <w:rPr>
                <w:rFonts w:ascii="Arial" w:hAnsi="Arial"/>
                <w:sz w:val="21"/>
              </w:rPr>
              <w:t xml:space="preserve">Centers for Disease Control and Prevention (CDC). National Survey of Family Growth (NFSG) Staff Division of Vital Statistics, National Center for Health Statistics. National Survey of Family Growth (NSFG) 2003 Cycle 6 Male. Questions INFHELP IE-1 (question 1), INFSVCS IE-2 (question 2), NSFG INFRTHIS IE-7 (question 3). Notes: The male NSFG questions have been modified to indicate partner instead of wife. Centers for Disease Control and Prevention (CDC). National Survey of Family Growth (NFSG) Staff Division of Vital Statistics, National Center for Health Statistics. National Survey of Family Growth (NSFG) 2003 Cycle 6 Female. Questions UF HD8 (question 4), ENDO H9 (question 5). </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Participants 15-44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The interviewer must be trained in the use of CAPI-lite questionnaires for the NSFG.</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If a computer-assisted instrument is used, computer software may be necessary to develop the instrument. The interviewer will require a laptop computer/handheld computer to administer a computer-assisted questionnaire.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Standard</w:t>
                  </w:r>
                </w:p>
              </w:tc>
              <w:tc>
                <w:tcPr>
                  <w:tcW w:w="0" w:type="auto"/>
                  <w:vAlign w:val="center"/>
                </w:tcPr>
                <w:p>
                  <w:pPr>
                    <w:spacing w:before="240" w:after="240"/>
                    <w:ind w:left="0" w:right="0"/>
                    <w:rPr>
                      <w:rFonts w:ascii="Arial" w:hAnsi="Arial"/>
                      <w:sz w:val="21"/>
                    </w:rPr>
                  </w:pPr>
                  <w:r>
                    <w:rPr>
                      <w:rFonts w:ascii="Arial" w:hAnsi="Arial"/>
                      <w:b w:val="1"/>
                      <w:sz w:val="21"/>
                    </w:rPr>
                    <w:t>Name</w:t>
                  </w:r>
                </w:p>
              </w:tc>
              <w:tc>
                <w:tcPr>
                  <w:tcW w:w="0" w:type="auto"/>
                  <w:vAlign w:val="center"/>
                </w:tcPr>
                <w:p>
                  <w:pPr>
                    <w:spacing w:before="240" w:after="240"/>
                    <w:ind w:left="0" w:right="0"/>
                    <w:rPr>
                      <w:rFonts w:ascii="Arial" w:hAnsi="Arial"/>
                      <w:sz w:val="21"/>
                    </w:rPr>
                  </w:pPr>
                  <w:r>
                    <w:rPr>
                      <w:rFonts w:ascii="Arial" w:hAnsi="Arial"/>
                      <w:b w:val="1"/>
                      <w:sz w:val="21"/>
                    </w:rPr>
                    <w:t>ID</w:t>
                  </w:r>
                </w:p>
              </w:tc>
              <w:tc>
                <w:tcPr>
                  <w:tcW w:w="0" w:type="auto"/>
                  <w:vAlign w:val="center"/>
                </w:tcPr>
                <w:p>
                  <w:pPr>
                    <w:spacing w:before="240" w:after="240"/>
                    <w:ind w:left="0" w:right="0"/>
                    <w:rPr>
                      <w:rFonts w:ascii="Arial" w:hAnsi="Arial"/>
                      <w:sz w:val="21"/>
                    </w:rPr>
                  </w:pPr>
                  <w:r>
                    <w:rPr>
                      <w:rFonts w:ascii="Arial" w:hAnsi="Arial"/>
                      <w:b w:val="1"/>
                      <w:sz w:val="21"/>
                    </w:rPr>
                    <w:t>Source</w:t>
                  </w:r>
                </w:p>
              </w:tc>
            </w:tr>
            <w:tr>
              <w:tc>
                <w:tcPr>
                  <w:tcW w:w="0" w:type="auto"/>
                  <w:vAlign w:val="center"/>
                </w:tcPr>
                <w:p>
                  <w:pPr>
                    <w:spacing w:before="240" w:after="240"/>
                    <w:ind w:left="0" w:right="0"/>
                    <w:rPr>
                      <w:rFonts w:ascii="Arial" w:hAnsi="Arial"/>
                      <w:sz w:val="21"/>
                    </w:rPr>
                  </w:pPr>
                  <w:r>
                    <w:rPr>
                      <w:rFonts w:ascii="Arial" w:hAnsi="Arial"/>
                      <w:sz w:val="21"/>
                    </w:rPr>
                    <w:t>Logical Observation Identifiers Names and Codes (LOINC)</w:t>
                  </w:r>
                </w:p>
              </w:tc>
              <w:tc>
                <w:tcPr>
                  <w:tcW w:w="0" w:type="auto"/>
                  <w:vAlign w:val="center"/>
                </w:tcPr>
                <w:p>
                  <w:pPr>
                    <w:spacing w:before="240" w:after="240"/>
                    <w:ind w:left="0" w:right="0"/>
                    <w:rPr>
                      <w:rFonts w:ascii="Arial" w:hAnsi="Arial"/>
                      <w:sz w:val="21"/>
                    </w:rPr>
                  </w:pPr>
                  <w:r>
                    <w:rPr>
                      <w:rFonts w:ascii="Arial" w:hAnsi="Arial"/>
                      <w:sz w:val="21"/>
                    </w:rPr>
                    <w:t>PhenX - causes and treatments of known infertility - female protocol 100202</w:t>
                  </w:r>
                </w:p>
              </w:tc>
              <w:tc>
                <w:tcPr>
                  <w:tcW w:w="0" w:type="auto"/>
                  <w:vAlign w:val="center"/>
                </w:tcPr>
                <w:p>
                  <w:pPr>
                    <w:spacing w:before="240" w:after="240"/>
                    <w:ind w:left="0" w:right="0"/>
                    <w:rPr>
                      <w:rFonts w:ascii="Arial" w:hAnsi="Arial"/>
                      <w:sz w:val="21"/>
                    </w:rPr>
                  </w:pPr>
                  <w:r>
                    <w:rPr>
                      <w:rFonts w:ascii="Arial" w:hAnsi="Arial"/>
                      <w:sz w:val="21"/>
                    </w:rPr>
                    <w:t>62648-1</w:t>
                  </w:r>
                </w:p>
              </w:tc>
              <w:tc>
                <w:tcPr>
                  <w:tcW w:w="0" w:type="auto"/>
                  <w:vAlign w:val="center"/>
                </w:tcPr>
                <w:p>
                  <w:pPr>
                    <w:spacing w:before="240" w:after="240"/>
                    <w:ind w:left="0" w:right="0"/>
                    <w:rPr>
                      <w:rFonts w:ascii="Arial" w:hAnsi="Arial"/>
                      <w:sz w:val="21"/>
                    </w:rPr>
                  </w:pPr>
                  <w:r>
                    <w:rPr>
                      <w:rFonts w:ascii="Arial" w:hAnsi="Arial"/>
                      <w:sz w:val="21"/>
                    </w:rPr>
                    <w:fldChar w:fldCharType="begin"/>
                  </w:r>
                  <w:r>
                    <w:rPr>
                      <w:rFonts w:ascii="Arial" w:hAnsi="Arial"/>
                      <w:sz w:val="21"/>
                    </w:rPr>
                    <w:instrText>HYPERLINK "http://s.details.loinc.org/LOINC/&lt;INSERT_ID&gt;.html?sections=Web"</w:instrText>
                  </w:r>
                  <w:r>
                    <w:rPr>
                      <w:rFonts w:ascii="Arial" w:hAnsi="Arial"/>
                      <w:sz w:val="21"/>
                    </w:rPr>
                    <w:fldChar w:fldCharType="separate"/>
                  </w:r>
                  <w:r>
                    <w:rPr>
                      <w:rStyle w:val="C2"/>
                      <w:rFonts w:ascii="Arial" w:hAnsi="Arial"/>
                      <w:sz w:val="21"/>
                    </w:rPr>
                    <w:t>LOINC</w:t>
                  </w:r>
                  <w:r>
                    <w:rPr>
                      <w:rStyle w:val="C2"/>
                      <w:rFonts w:ascii="Arial" w:hAnsi="Arial"/>
                      <w:sz w:val="21"/>
                    </w:rPr>
                    <w:fldChar w:fldCharType="end"/>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Lepkowski JM, Mosher WD, Davis KE, Groves RM, van Hoewyk J, Willem J. (2006). National</w:t>
            </w:r>
          </w:p>
          <w:p>
            <w:pPr>
              <w:spacing w:before="240" w:after="240"/>
              <w:ind w:left="0" w:right="0"/>
              <w:rPr>
                <w:rFonts w:ascii="Arial" w:hAnsi="Arial"/>
                <w:sz w:val="21"/>
              </w:rPr>
            </w:pPr>
            <w:r>
              <w:rPr>
                <w:rFonts w:ascii="Arial" w:hAnsi="Arial"/>
                <w:sz w:val="21"/>
              </w:rPr>
              <w:t>Survey of Family Growth, Cycle 6: sample design, weighting, imputation, and variance estimation. Vital Health Stat, 2(142):1-82. PubMed PMID: 16999003.</w:t>
            </w:r>
          </w:p>
          <w:p>
            <w:pPr>
              <w:spacing w:before="240" w:after="240"/>
              <w:ind w:left="0" w:right="0"/>
              <w:rPr>
                <w:rFonts w:ascii="Arial" w:hAnsi="Arial"/>
                <w:sz w:val="21"/>
              </w:rPr>
            </w:pPr>
            <w:r>
              <w:rPr>
                <w:rFonts w:ascii="Arial" w:hAnsi="Arial"/>
                <w:sz w:val="21"/>
              </w:rPr>
              <w:t>Martinez GM, Chandra A, Abma JC, Jones J, Mosher WD. (2006). Fertility, contraception, and fatherhood: data on men and women from cycle 6 (2002) of the 2002 National Survey of Family Growth. Vital Health Stat, 23(26):1-142.</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Yes</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49E044E8"/>
    <w:multiLevelType w:val="hybridMultilevel"/>
    <w:lvl w:ilvl="0" w:tplc="432D3BDE">
      <w:start w:val="1"/>
      <w:numFmt w:val="bullet"/>
      <w:suff w:val="tab"/>
      <w:lvlText w:val="·"/>
      <w:lvlJc w:val="left"/>
      <w:pPr>
        <w:ind w:hanging="360" w:left="720"/>
      </w:pPr>
      <w:rPr>
        <w:rFonts w:ascii="Symbol" w:hAnsi="Symbol"/>
      </w:rPr>
    </w:lvl>
    <w:lvl w:ilvl="1" w:tplc="6784042D">
      <w:start w:val="1"/>
      <w:numFmt w:val="bullet"/>
      <w:suff w:val="tab"/>
      <w:lvlText w:val="o"/>
      <w:lvlJc w:val="left"/>
      <w:pPr>
        <w:ind w:hanging="360" w:left="1440"/>
      </w:pPr>
      <w:rPr>
        <w:rFonts w:ascii="Symbol" w:hAnsi="Symbol"/>
      </w:rPr>
    </w:lvl>
    <w:lvl w:ilvl="2" w:tplc="7CBB9427">
      <w:start w:val="1"/>
      <w:numFmt w:val="bullet"/>
      <w:suff w:val="tab"/>
      <w:lvlText w:val="·"/>
      <w:lvlJc w:val="left"/>
      <w:pPr>
        <w:ind w:hanging="360" w:left="2160"/>
      </w:pPr>
      <w:rPr>
        <w:rFonts w:ascii="Symbol" w:hAnsi="Symbol"/>
      </w:rPr>
    </w:lvl>
    <w:lvl w:ilvl="3" w:tplc="5710B301">
      <w:start w:val="1"/>
      <w:numFmt w:val="bullet"/>
      <w:suff w:val="tab"/>
      <w:lvlText w:val="o"/>
      <w:lvlJc w:val="left"/>
      <w:pPr>
        <w:ind w:hanging="360" w:left="2880"/>
      </w:pPr>
      <w:rPr>
        <w:rFonts w:ascii="Symbol" w:hAnsi="Symbol"/>
      </w:rPr>
    </w:lvl>
    <w:lvl w:ilvl="4" w:tplc="5B2650E1">
      <w:start w:val="1"/>
      <w:numFmt w:val="bullet"/>
      <w:suff w:val="tab"/>
      <w:lvlText w:val="·"/>
      <w:lvlJc w:val="left"/>
      <w:pPr>
        <w:ind w:hanging="360" w:left="3600"/>
      </w:pPr>
      <w:rPr>
        <w:rFonts w:ascii="Symbol" w:hAnsi="Symbol"/>
      </w:rPr>
    </w:lvl>
    <w:lvl w:ilvl="5" w:tplc="78D2DD69">
      <w:start w:val="1"/>
      <w:numFmt w:val="bullet"/>
      <w:suff w:val="tab"/>
      <w:lvlText w:val="o"/>
      <w:lvlJc w:val="left"/>
      <w:pPr>
        <w:ind w:hanging="360" w:left="4320"/>
      </w:pPr>
      <w:rPr>
        <w:rFonts w:ascii="Symbol" w:hAnsi="Symbol"/>
      </w:rPr>
    </w:lvl>
    <w:lvl w:ilvl="6" w:tplc="256FD655">
      <w:start w:val="1"/>
      <w:numFmt w:val="bullet"/>
      <w:suff w:val="tab"/>
      <w:lvlText w:val="·"/>
      <w:lvlJc w:val="left"/>
      <w:pPr>
        <w:ind w:hanging="360" w:left="5040"/>
      </w:pPr>
      <w:rPr>
        <w:rFonts w:ascii="Symbol" w:hAnsi="Symbol"/>
      </w:rPr>
    </w:lvl>
    <w:lvl w:ilvl="7" w:tplc="2631F5F6">
      <w:start w:val="1"/>
      <w:numFmt w:val="bullet"/>
      <w:suff w:val="tab"/>
      <w:lvlText w:val="o"/>
      <w:lvlJc w:val="left"/>
      <w:pPr>
        <w:ind w:hanging="360" w:left="5760"/>
      </w:pPr>
      <w:rPr>
        <w:rFonts w:ascii="Symbol" w:hAnsi="Symbol"/>
      </w:rPr>
    </w:lvl>
    <w:lvl w:ilvl="8" w:tplc="1B26F8F4">
      <w:start w:val="1"/>
      <w:numFmt w:val="bullet"/>
      <w:suff w:val="tab"/>
      <w:lvlText w:val="·"/>
      <w:lvlJc w:val="left"/>
      <w:pPr>
        <w:ind w:hanging="360" w:left="6480"/>
      </w:pPr>
      <w:rPr>
        <w:rFonts w:ascii="Symbol" w:hAnsi="Symbol"/>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2024-10-17T15:14:00Z</dcterms:created>
  <cp:lastModifiedBy>Williams (He/Him), David</cp:lastModifiedBy>
  <dcterms:modified xsi:type="dcterms:W3CDTF">2024-10-17T15:14:00Z</dcterms:modified>
  <cp:revision>1</cp:revision>
</cp:coreProperties>
</file>