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8A5EB74" Type="http://schemas.openxmlformats.org/officeDocument/2006/relationships/officeDocument" Target="/word/document.xml" /><Relationship Id="coreR28A5EB7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10801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Demographics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Current Address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Question asking the respondent for his or her current address.</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Current address is the location of the respondent’s primary residence. The proximity of the respondent’s residence to environmental sources may or may not influence his or her health (e.g., living within 100 meters of a major urban roadway might influence person’s respiratory health). Current address information (street address, city, state, and zip code) can be geocoded (geographical latitudes and longitudes), if necessary.</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Residential History [60301]</w:t>
              <w:br w:type="textWrapping"/>
              <w:t>Neighborhood Concentrated Disadvantage [211301]</w:t>
              <w:br w:type="textWrapping"/>
              <w:t>Neighborhood Concentrated Disadvantage [211302]</w:t>
              <w:br w:type="textWrapping"/>
              <w:t>Race/Ethnic Residential Segregation [211401]</w:t>
              <w:br w:type="textWrapping"/>
              <w:t>Race/Ethnic Residential Segregation - U.S. Census [211402]</w:t>
              <w:br w:type="textWrapping"/>
              <w:t>Race/Ethnic Residential Segregation - American Community Survey [211403]</w:t>
              <w:br w:type="textWrapping"/>
              <w:t xml:space="preserve">Race/Ethnic Residential Segregation - Separation (S) Index, Unbiased [211404]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May 31, 2016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06,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31,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Current Address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Screener Module 1, 2005-2006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Demographics; National Center for Health Statistics; NCHS; Centers for Disease Control and Prevention; CDC; address; geocode; residence; street address; latitude; longitude; National Health and Nutrition Examination Survey; NHANES; SES Measures (income; education; occupation); Demographics-Populations with HD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interviewer reads the respondents current address aloud for the respondent. Information is verified with the respondent and recorded.</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I would like to verify your address. Please give me your complete current residential address (where you spend most of your time). </w:t>
            </w:r>
          </w:p>
          <w:p>
            <w:pPr>
              <w:spacing w:before="240" w:after="240"/>
              <w:ind w:left="0" w:right="0"/>
              <w:rPr>
                <w:rFonts w:ascii="Arial" w:hAnsi="Arial"/>
                <w:sz w:val="21"/>
              </w:rPr>
            </w:pPr>
            <w:r>
              <w:rPr>
                <w:rFonts w:ascii="Arial" w:hAnsi="Arial"/>
                <w:sz w:val="21"/>
              </w:rPr>
              <w:t>{#} {DIRECTION} {STREET NAME} {STREET/ROAD/AVENUE} {DIRECTION} {##} {PO BOX} {RURAL ROUTE #} {RURAL ROUTEBOX} {CITY} {STATE} {ZIP}</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Current address (or location) may relate environmental exposures to a person’s health. Verification of a respondent’s address is a standard practice. The respondent’s current address and updates of his or her current address are necessary for follow-up during longitudinal studies.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(2005). National Health and Nutrition Examination Survey (NHANES), 2005–2006, Screener Module 1. Atlanta, GA: Author. Question number: SCQ.070. </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Spanish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Any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spacing w:before="240" w:after="240"/>
              <w:ind w:left="0" w:right="0"/>
              <w:rPr>
                <w:rFonts w:ascii="Arial" w:hAnsi="Arial"/>
                <w:sz w:val="21"/>
              </w:rPr>
            </w:pPr>
            <w:r>
              <w:rPr>
                <w:rFonts w:ascii="Arial" w:hAnsi="Arial"/>
                <w:sz w:val="21"/>
              </w:rPr>
              <w:t>* There are multiple modes to administer this question (e.g., paper-and-pencil and computer-assisted interviews).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 or 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Current address proto</w:t>
                  </w:r>
                </w:p>
              </w:tc>
              <w:tc>
                <w:tcPr>
                  <w:tcW w:w="0" w:type="auto"/>
                  <w:vAlign w:val="center"/>
                </w:tcPr>
                <w:p>
                  <w:pPr>
                    <w:spacing w:before="240" w:after="240"/>
                    <w:ind w:left="0" w:right="0"/>
                    <w:rPr>
                      <w:rFonts w:ascii="Arial" w:hAnsi="Arial"/>
                      <w:sz w:val="21"/>
                    </w:rPr>
                  </w:pPr>
                  <w:r>
                    <w:rPr>
                      <w:rFonts w:ascii="Arial" w:hAnsi="Arial"/>
                      <w:sz w:val="21"/>
                    </w:rPr>
                    <w:t>63052-5</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Public Population Project in Genomics (P3G) Data Shaper.</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[link[phenxtoolkit.org/about/teams#erp2-members|Expert Review Panel #2]] (ERP 2) reviewed the measures in the Demographics, Environmental Exposures, and Social Environments domains. </w:t>
            </w:r>
          </w:p>
          <w:p>
            <w:pPr>
              <w:spacing w:before="240" w:after="240"/>
              <w:ind w:left="0" w:right="0"/>
              <w:rPr>
                <w:rFonts w:ascii="Arial" w:hAnsi="Arial"/>
                <w:sz w:val="21"/>
              </w:rPr>
            </w:pPr>
            <w:r>
              <w:rPr>
                <w:rFonts w:ascii="Arial" w:hAnsi="Arial"/>
                <w:sz w:val="21"/>
              </w:rPr>
              <w:t>Guidance from ERP 2 includes:</w:t>
            </w:r>
          </w:p>
          <w:p>
            <w:pPr>
              <w:spacing w:before="240" w:after="240"/>
              <w:ind w:left="0" w:right="0"/>
              <w:rPr>
                <w:rFonts w:ascii="Arial" w:hAnsi="Arial"/>
                <w:sz w:val="21"/>
              </w:rPr>
            </w:pPr>
            <w:r>
              <w:rPr>
                <w:rFonts w:ascii="Arial" w:hAnsi="Arial"/>
                <w:sz w:val="21"/>
              </w:rPr>
              <w:t>• Revised descriptions of the measure</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([link[www.phenxtoolkit.org/domains/view/10000#tab5content|link]])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