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3B420C6" Type="http://schemas.openxmlformats.org/officeDocument/2006/relationships/officeDocument" Target="/word/document.xml" /><Relationship Id="coreR63B420C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Demographics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Current Age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 to determine the respondent’s current age using his or her date of birth.</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Current age is a critical component of a respondent’s demographic background. Date of birth (DOB)/current age is essential to medical research because it captures the age at the time of the clinical visit or diagnosis. Age is related to nearly all diseases and conditions and is the strongest potential confounder of other effects on these processes. Current age is often used to stratify respondents for more valid comparison (e.g., obesity of males aged 40-45 in Mississippi).</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31,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06,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May 31,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Current Age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2005-2006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Demographics; National Center for Health Statistics; NCHS; Centers for Disease Control and Prevention; CDC; age; date of birth; DOB; National Health and Nutrition Examination Survey; NHANES; Demographics-Populations with HD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interviewer asks the respondent for his or her date of birth in MM/DD/YYYY format. If the respondent does not know his or her date of birth, the interviewer asks an alternative question to determine his or her age. NOTE: The current age of the respondent can be calculated, given the date of the interview.</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question may be asked of a proxy. Proxies are others in the household who can answer on behalf of the index person (e.g., parent, spouse) if the index person is too young, incapacitated, deceased, or cannot be located.</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What is your birthdate? MM/DD/YYYY;</w:t>
            </w:r>
          </w:p>
          <w:p>
            <w:pPr>
              <w:spacing w:before="240" w:after="240"/>
              <w:ind w:left="0" w:right="0"/>
              <w:rPr>
                <w:rFonts w:ascii="Arial" w:hAnsi="Arial"/>
                <w:sz w:val="21"/>
              </w:rPr>
            </w:pPr>
            <w:r>
              <w:rPr>
                <w:rFonts w:ascii="Arial" w:hAnsi="Arial"/>
                <w:sz w:val="21"/>
              </w:rPr>
              <w:t>[ ] 9 Don’t Know [ask follow-up question];</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[Follow-up question if "don’t know":] About how old are you? AGE _______;</w:t>
            </w:r>
          </w:p>
          <w:p>
            <w:pPr>
              <w:spacing w:before="240" w:after="240"/>
              <w:ind w:left="0" w:right="0"/>
              <w:rPr>
                <w:rFonts w:ascii="Arial" w:hAnsi="Arial"/>
                <w:sz w:val="21"/>
              </w:rPr>
            </w:pPr>
            <w:r>
              <w:rPr>
                <w:rFonts w:ascii="Arial" w:hAnsi="Arial"/>
                <w:sz w:val="21"/>
              </w:rPr>
              <w:t>[ ] 999 Don’t Know</w:t>
            </w:r>
          </w:p>
          <w:p>
            <w:pPr>
              <w:spacing w:before="240" w:after="240"/>
              <w:ind w:left="0" w:right="0"/>
              <w:rPr>
                <w:rFonts w:ascii="Arial" w:hAnsi="Arial"/>
                <w:sz w:val="21"/>
              </w:rPr>
            </w:pPr>
            <w:r>
              <w:rPr>
                <w:rFonts w:ascii="Arial" w:hAnsi="Arial"/>
                <w:sz w:val="21"/>
              </w:rPr>
              <w:t>[ ] 7 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Age is a primary predictor of disease and the most important potential confounder in epidemiologic studies.</w:t>
            </w:r>
          </w:p>
          <w:p>
            <w:pPr>
              <w:spacing w:before="240" w:after="240"/>
              <w:ind w:left="0" w:right="0"/>
              <w:rPr>
                <w:rFonts w:ascii="Arial" w:hAnsi="Arial"/>
                <w:sz w:val="21"/>
              </w:rPr>
            </w:pPr>
            <w:r>
              <w:rPr>
                <w:rFonts w:ascii="Arial" w:hAnsi="Arial"/>
                <w:sz w:val="21"/>
              </w:rPr>
              <w:t>Age at date of interview or exam can be compared to age in future follow-up interviews or exams for longitudinal research purposes.</w:t>
            </w:r>
          </w:p>
          <w:p>
            <w:pPr>
              <w:spacing w:before="240" w:after="240"/>
              <w:ind w:left="0" w:right="0"/>
              <w:rPr>
                <w:rFonts w:ascii="Arial" w:hAnsi="Arial"/>
                <w:sz w:val="21"/>
              </w:rPr>
            </w:pPr>
            <w:r>
              <w:rPr>
                <w:rFonts w:ascii="Arial" w:hAnsi="Arial"/>
                <w:sz w:val="21"/>
              </w:rPr>
              <w:t>Vetted against several other current age questions, the National Health and Nutrition Examination Survey (NHANES) question was selected because it included the date of birth (DOB) and a follow-up question to collect current age if the respondent did not know his or her DOB.</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Center for Health Statistics. National Health and Nutrition Examination Survey (NHANES), Screener Module 1, 2005–2006. Question numbers: SCQ.290 and SCQ.292.</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Any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pPr>
              <w:spacing w:before="240" w:after="240"/>
              <w:ind w:left="0" w:right="0"/>
              <w:rPr>
                <w:rFonts w:ascii="Arial" w:hAnsi="Arial"/>
                <w:sz w:val="21"/>
              </w:rPr>
            </w:pPr>
            <w:r>
              <w:rPr>
                <w:rFonts w:ascii="Arial" w:hAnsi="Arial"/>
                <w:sz w:val="21"/>
              </w:rPr>
              <w:t>* There are multiple modes to administer this question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Current age proto</w:t>
                  </w:r>
                </w:p>
              </w:tc>
              <w:tc>
                <w:tcPr>
                  <w:tcW w:w="0" w:type="auto"/>
                  <w:vAlign w:val="center"/>
                </w:tcPr>
                <w:p>
                  <w:pPr>
                    <w:spacing w:before="240" w:after="240"/>
                    <w:ind w:left="0" w:right="0"/>
                    <w:rPr>
                      <w:rFonts w:ascii="Arial" w:hAnsi="Arial"/>
                      <w:sz w:val="21"/>
                    </w:rPr>
                  </w:pPr>
                  <w:r>
                    <w:rPr>
                      <w:rFonts w:ascii="Arial" w:hAnsi="Arial"/>
                      <w:sz w:val="21"/>
                    </w:rPr>
                    <w:t>62293-6</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Public Population Project in Genomics (P3G) Data Shaper.</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Age at onset, present age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[link[phenxtoolkit.org/about/teams#erp2-members|Expert Review Panel #2]] (ERP 2) reviewed the measures in the Demographics, Environmental Exposures, and Social Environments domains. </w:t>
            </w:r>
          </w:p>
          <w:p>
            <w:pPr>
              <w:spacing w:before="240" w:after="240"/>
              <w:ind w:left="0" w:right="0"/>
              <w:rPr>
                <w:rFonts w:ascii="Arial" w:hAnsi="Arial"/>
                <w:sz w:val="21"/>
              </w:rPr>
            </w:pPr>
            <w:r>
              <w:rPr>
                <w:rFonts w:ascii="Arial" w:hAnsi="Arial"/>
                <w:sz w:val="21"/>
              </w:rPr>
              <w:t>Guidance from ERP 2 includes:</w:t>
            </w:r>
          </w:p>
          <w:p>
            <w:pPr>
              <w:spacing w:before="240" w:after="240"/>
              <w:ind w:left="0" w:right="0"/>
              <w:rPr>
                <w:rFonts w:ascii="Arial" w:hAnsi="Arial"/>
                <w:sz w:val="21"/>
              </w:rPr>
            </w:pPr>
            <w:r>
              <w:rPr>
                <w:rFonts w:ascii="Arial" w:hAnsi="Arial"/>
                <w:sz w:val="21"/>
              </w:rPr>
              <w:t>• No significant changes to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([link[www.phenxtoolkit.org/domains/view/10000#tab5content|link]])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